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rPr>
          <w:b/>
          <w:sz w:val="32"/>
          <w:szCs w:val="32"/>
          <w:u w:val="single"/>
        </w:rPr>
      </w:pPr>
    </w:p>
    <w:tbl>
      <w:tblPr>
        <w:tblW w:w="0" w:type="auto"/>
        <w:tblLook w:val="04A0" w:firstRow="1" w:lastRow="0" w:firstColumn="1" w:lastColumn="0" w:noHBand="0" w:noVBand="1"/>
      </w:tblPr>
      <w:tblGrid>
        <w:gridCol w:w="9026"/>
      </w:tblGrid>
      <w:tr>
        <w:tc>
          <w:tcPr>
            <w:tcW w:w="10425" w:type="dxa"/>
            <w:shd w:val="clear" w:color="auto" w:fill="auto"/>
          </w:tcPr>
          <w:tbl>
            <w:tblPr>
              <w:tblW w:w="16019" w:type="dxa"/>
              <w:tblLook w:val="0000" w:firstRow="0" w:lastRow="0" w:firstColumn="0" w:lastColumn="0" w:noHBand="0" w:noVBand="0"/>
            </w:tblPr>
            <w:tblGrid>
              <w:gridCol w:w="9097"/>
              <w:gridCol w:w="5074"/>
              <w:gridCol w:w="264"/>
              <w:gridCol w:w="1584"/>
            </w:tblGrid>
            <w:tr>
              <w:tc>
                <w:tcPr>
                  <w:tcW w:w="9097" w:type="dxa"/>
                </w:tcPr>
                <w:p>
                  <w:pPr>
                    <w:spacing w:after="240" w:line="360" w:lineRule="exact"/>
                    <w:jc w:val="center"/>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lang w:eastAsia="en-GB"/>
                    </w:rPr>
                    <mc:AlternateContent>
                      <mc:Choice Requires="wps">
                        <w:drawing>
                          <wp:anchor distT="0" distB="0" distL="114300" distR="114300" simplePos="0" relativeHeight="251659264" behindDoc="0" locked="0" layoutInCell="1" allowOverlap="1">
                            <wp:simplePos x="0" y="0"/>
                            <wp:positionH relativeFrom="column">
                              <wp:posOffset>212725</wp:posOffset>
                            </wp:positionH>
                            <wp:positionV relativeFrom="paragraph">
                              <wp:posOffset>-5744210</wp:posOffset>
                            </wp:positionV>
                            <wp:extent cx="5762625" cy="2362835"/>
                            <wp:effectExtent l="0" t="0" r="0" b="0"/>
                            <wp:wrapNone/>
                            <wp:docPr id="1"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2625" cy="2362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pPr>
                                          <w:spacing w:before="600"/>
                                          <w:rPr>
                                            <w:rFonts w:ascii="Arial" w:hAnsi="Arial" w:cs="Arial"/>
                                            <w:b/>
                                            <w:color w:val="FFFFFF"/>
                                            <w:sz w:val="72"/>
                                            <w:szCs w:val="72"/>
                                          </w:rPr>
                                        </w:pPr>
                                        <w:r>
                                          <w:rPr>
                                            <w:rFonts w:ascii="Arial" w:hAnsi="Arial" w:cs="Arial"/>
                                            <w:b/>
                                            <w:color w:val="FFFFFF"/>
                                            <w:sz w:val="72"/>
                                            <w:szCs w:val="72"/>
                                          </w:rPr>
                                          <w:t>Equality and Diversity in Employment Policy</w:t>
                                        </w:r>
                                      </w:p>
                                      <w:p>
                                        <w:pPr>
                                          <w:spacing w:before="600"/>
                                          <w:rPr>
                                            <w:rFonts w:ascii="Arial" w:hAnsi="Arial" w:cs="Arial"/>
                                            <w:b/>
                                            <w:color w:val="FFFFFF"/>
                                            <w:sz w:val="56"/>
                                            <w:szCs w:val="56"/>
                                          </w:rPr>
                                        </w:pPr>
                                        <w:r>
                                          <w:rPr>
                                            <w:rFonts w:ascii="Arial" w:hAnsi="Arial" w:cs="Arial"/>
                                            <w:b/>
                                            <w:color w:val="FFFFFF"/>
                                            <w:sz w:val="56"/>
                                            <w:szCs w:val="56"/>
                                          </w:rPr>
                                          <w:t>A model for Schools/Academies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26" style="position:absolute;left:0;text-align:left;margin-left:16.75pt;margin-top:-452.3pt;width:453.75pt;height:186.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" filled="f" stroked="f">
                            <v:textbox>
                              <w:txbxContent>
                                <w:p>
                                  <w:pPr>
                                    <w:spacing w:before="600"/>
                                    <w:rPr>
                                      <w:rFonts w:ascii="Arial" w:hAnsi="Arial" w:cs="Arial"/>
                                      <w:b/>
                                      <w:color w:val="FFFFFF"/>
                                      <w:sz w:val="72"/>
                                      <w:szCs w:val="72"/>
                                    </w:rPr>
                                  </w:pPr>
                                  <w:r>
                                    <w:rPr>
                                      <w:rFonts w:ascii="Arial" w:hAnsi="Arial" w:cs="Arial"/>
                                      <w:b/>
                                      <w:color w:val="FFFFFF"/>
                                      <w:sz w:val="72"/>
                                      <w:szCs w:val="72"/>
                                    </w:rPr>
                                    <w:t>Equality and Diversity in Employment Policy</w:t>
                                  </w:r>
                                </w:p>
                                <w:p>
                                  <w:pPr>
                                    <w:spacing w:before="600"/>
                                    <w:rPr>
                                      <w:rFonts w:ascii="Arial" w:hAnsi="Arial" w:cs="Arial"/>
                                      <w:b/>
                                      <w:color w:val="FFFFFF"/>
                                      <w:sz w:val="56"/>
                                      <w:szCs w:val="56"/>
                                    </w:rPr>
                                  </w:pPr>
                                  <w:r>
                                    <w:rPr>
                                      <w:rFonts w:ascii="Arial" w:hAnsi="Arial" w:cs="Arial"/>
                                      <w:b/>
                                      <w:color w:val="FFFFFF"/>
                                      <w:sz w:val="56"/>
                                      <w:szCs w:val="56"/>
                                    </w:rPr>
                                    <w:t>A model for Schools/Academies</w:t>
                                  </w:r>
                                </w:p>
                              </w:txbxContent>
                            </v:textbox>
                          </v:rect>
                        </w:pict>
                      </mc:Fallback>
                    </mc:AlternateContent>
                  </w:r>
                </w:p>
                <w:p>
                  <w:pPr>
                    <w:spacing w:after="0" w:line="240" w:lineRule="auto"/>
                    <w:jc w:val="center"/>
                    <w:rPr>
                      <w:rFonts w:ascii="Arial" w:eastAsia="Times New Roman" w:hAnsi="Arial" w:cs="Times New Roman"/>
                      <w:color w:val="000000"/>
                      <w:sz w:val="24"/>
                      <w:szCs w:val="24"/>
                      <w:lang w:eastAsia="en-GB"/>
                    </w:rPr>
                  </w:pPr>
                </w:p>
                <w:p>
                  <w:pPr>
                    <w:spacing w:after="0" w:line="240" w:lineRule="auto"/>
                    <w:jc w:val="center"/>
                    <w:rPr>
                      <w:rFonts w:ascii="Arial" w:eastAsia="Times New Roman" w:hAnsi="Arial" w:cs="Times New Roman"/>
                      <w:color w:val="000000"/>
                      <w:sz w:val="24"/>
                      <w:szCs w:val="24"/>
                      <w:lang w:eastAsia="en-GB"/>
                    </w:rPr>
                  </w:pPr>
                </w:p>
                <w:p>
                  <w:pPr>
                    <w:spacing w:after="0" w:line="240" w:lineRule="auto"/>
                    <w:jc w:val="center"/>
                    <w:rPr>
                      <w:rFonts w:ascii="Arial" w:eastAsia="Times New Roman" w:hAnsi="Arial" w:cs="Arial"/>
                      <w:b/>
                      <w:color w:val="000000"/>
                      <w:sz w:val="72"/>
                      <w:szCs w:val="72"/>
                      <w:lang w:eastAsia="en-GB"/>
                    </w:rPr>
                  </w:pPr>
                  <w:r>
                    <w:rPr>
                      <w:rFonts w:ascii="Arial" w:eastAsia="Times New Roman" w:hAnsi="Arial" w:cs="Times New Roman"/>
                      <w:noProof/>
                      <w:color w:val="000000"/>
                      <w:sz w:val="24"/>
                      <w:szCs w:val="24"/>
                      <w:lang w:eastAsia="en-GB"/>
                    </w:rPr>
                    <w:drawing>
                      <wp:anchor distT="0" distB="0" distL="114300" distR="114300" simplePos="0" relativeHeight="251660288" behindDoc="1" locked="0" layoutInCell="1" allowOverlap="1">
                        <wp:simplePos x="0" y="0"/>
                        <wp:positionH relativeFrom="column">
                          <wp:posOffset>3392805</wp:posOffset>
                        </wp:positionH>
                        <wp:positionV relativeFrom="paragraph">
                          <wp:posOffset>190500</wp:posOffset>
                        </wp:positionV>
                        <wp:extent cx="711200" cy="863600"/>
                        <wp:effectExtent l="0" t="0" r="0" b="0"/>
                        <wp:wrapTight wrapText="bothSides">
                          <wp:wrapPolygon edited="0">
                            <wp:start x="0" y="0"/>
                            <wp:lineTo x="0" y="20965"/>
                            <wp:lineTo x="20829" y="20965"/>
                            <wp:lineTo x="20829" y="0"/>
                            <wp:lineTo x="0" y="0"/>
                          </wp:wrapPolygon>
                        </wp:wrapTight>
                        <wp:docPr id="9" name="Picture 9" descr="st clare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t clares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11200" cy="863600"/>
                                </a:xfrm>
                                <a:prstGeom prst="rect">
                                  <a:avLst/>
                                </a:prstGeom>
                                <a:noFill/>
                              </pic:spPr>
                            </pic:pic>
                          </a:graphicData>
                        </a:graphic>
                        <wp14:sizeRelH relativeFrom="page">
                          <wp14:pctWidth>0</wp14:pctWidth>
                        </wp14:sizeRelH>
                        <wp14:sizeRelV relativeFrom="page">
                          <wp14:pctHeight>0</wp14:pctHeight>
                        </wp14:sizeRelV>
                      </wp:anchor>
                    </w:drawing>
                  </w:r>
                  <w:r>
                    <w:rPr>
                      <w:rFonts w:ascii="Arial" w:eastAsia="Times New Roman" w:hAnsi="Arial" w:cs="Arial"/>
                      <w:b/>
                      <w:noProof/>
                      <w:color w:val="000000"/>
                      <w:sz w:val="72"/>
                      <w:szCs w:val="72"/>
                      <w:lang w:eastAsia="en-GB"/>
                    </w:rPr>
                    <w:drawing>
                      <wp:inline distT="0" distB="0" distL="0" distR="0">
                        <wp:extent cx="1266825" cy="1571625"/>
                        <wp:effectExtent l="0" t="0" r="0" b="0"/>
                        <wp:docPr id="2" name="Picture 2" descr="NEW2020ROSARY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2020ROSARY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66825" cy="1571625"/>
                                </a:xfrm>
                                <a:prstGeom prst="rect">
                                  <a:avLst/>
                                </a:prstGeom>
                                <a:noFill/>
                                <a:ln>
                                  <a:noFill/>
                                </a:ln>
                              </pic:spPr>
                            </pic:pic>
                          </a:graphicData>
                        </a:graphic>
                      </wp:inline>
                    </w:drawing>
                  </w:r>
                </w:p>
                <w:p>
                  <w:pPr>
                    <w:spacing w:after="0" w:line="240" w:lineRule="auto"/>
                    <w:jc w:val="center"/>
                    <w:rPr>
                      <w:rFonts w:ascii="Arial" w:eastAsia="Times New Roman" w:hAnsi="Arial" w:cs="Arial"/>
                      <w:b/>
                      <w:color w:val="000000"/>
                      <w:sz w:val="72"/>
                      <w:szCs w:val="72"/>
                      <w:lang w:eastAsia="en-GB"/>
                    </w:rPr>
                  </w:pPr>
                </w:p>
                <w:p>
                  <w:pPr>
                    <w:spacing w:after="0" w:line="240" w:lineRule="auto"/>
                    <w:jc w:val="center"/>
                    <w:rPr>
                      <w:rFonts w:ascii="Arial" w:eastAsia="Times New Roman" w:hAnsi="Arial" w:cs="Arial"/>
                      <w:b/>
                      <w:color w:val="000000"/>
                      <w:sz w:val="72"/>
                      <w:szCs w:val="72"/>
                      <w:lang w:eastAsia="en-GB"/>
                    </w:rPr>
                  </w:pPr>
                </w:p>
                <w:p>
                  <w:pPr>
                    <w:spacing w:after="0" w:line="240" w:lineRule="auto"/>
                    <w:jc w:val="center"/>
                    <w:rPr>
                      <w:rFonts w:ascii="Cambria" w:eastAsia="Times New Roman" w:hAnsi="Cambria" w:cs="Arial"/>
                      <w:b/>
                      <w:color w:val="000000"/>
                      <w:sz w:val="72"/>
                      <w:szCs w:val="72"/>
                      <w:lang w:eastAsia="en-GB"/>
                    </w:rPr>
                  </w:pPr>
                  <w:r>
                    <w:rPr>
                      <w:rFonts w:ascii="Cambria" w:eastAsia="Times New Roman" w:hAnsi="Cambria" w:cs="Arial"/>
                      <w:b/>
                      <w:color w:val="000000"/>
                      <w:sz w:val="72"/>
                      <w:szCs w:val="72"/>
                      <w:lang w:eastAsia="en-GB"/>
                    </w:rPr>
                    <w:t>The Rosary Trust</w:t>
                  </w:r>
                </w:p>
                <w:p>
                  <w:pPr>
                    <w:spacing w:after="0" w:line="240" w:lineRule="auto"/>
                    <w:jc w:val="center"/>
                    <w:rPr>
                      <w:rFonts w:ascii="Cambria" w:eastAsia="Times New Roman" w:hAnsi="Cambria" w:cs="Arial"/>
                      <w:b/>
                      <w:color w:val="000000"/>
                      <w:sz w:val="72"/>
                      <w:szCs w:val="72"/>
                      <w:lang w:eastAsia="en-GB"/>
                    </w:rPr>
                  </w:pPr>
                  <w:r>
                    <w:rPr>
                      <w:rFonts w:ascii="Cambria" w:eastAsia="Times New Roman" w:hAnsi="Cambria" w:cs="Arial"/>
                      <w:b/>
                      <w:color w:val="000000"/>
                      <w:sz w:val="72"/>
                      <w:szCs w:val="72"/>
                      <w:lang w:eastAsia="en-GB"/>
                    </w:rPr>
                    <w:t>A Catholic Education Trust</w:t>
                  </w:r>
                </w:p>
                <w:p>
                  <w:pPr>
                    <w:spacing w:after="0" w:line="240" w:lineRule="auto"/>
                    <w:jc w:val="center"/>
                    <w:rPr>
                      <w:rFonts w:ascii="Cambria" w:eastAsia="Times New Roman" w:hAnsi="Cambria" w:cs="Arial"/>
                      <w:b/>
                      <w:color w:val="000000"/>
                      <w:sz w:val="72"/>
                      <w:szCs w:val="72"/>
                      <w:lang w:eastAsia="en-GB"/>
                    </w:rPr>
                  </w:pPr>
                </w:p>
                <w:p>
                  <w:pPr>
                    <w:spacing w:after="0" w:line="240" w:lineRule="auto"/>
                    <w:jc w:val="center"/>
                    <w:rPr>
                      <w:rFonts w:ascii="Cambria" w:eastAsia="Times New Roman" w:hAnsi="Cambria" w:cs="Arial"/>
                      <w:b/>
                      <w:color w:val="000000"/>
                      <w:sz w:val="52"/>
                      <w:szCs w:val="52"/>
                      <w:lang w:eastAsia="en-GB"/>
                    </w:rPr>
                  </w:pPr>
                  <w:r>
                    <w:rPr>
                      <w:rFonts w:ascii="Cambria" w:eastAsia="Times New Roman" w:hAnsi="Cambria" w:cs="Arial"/>
                      <w:b/>
                      <w:color w:val="000000"/>
                      <w:sz w:val="52"/>
                      <w:szCs w:val="52"/>
                      <w:lang w:eastAsia="en-GB"/>
                    </w:rPr>
                    <w:t>St Clare’s Catholic Primary</w:t>
                  </w:r>
                </w:p>
                <w:p>
                  <w:pPr>
                    <w:spacing w:after="0" w:line="240" w:lineRule="auto"/>
                    <w:jc w:val="center"/>
                    <w:rPr>
                      <w:rFonts w:ascii="Cambria" w:eastAsia="Times New Roman" w:hAnsi="Cambria" w:cs="Arial"/>
                      <w:b/>
                      <w:color w:val="000000"/>
                      <w:sz w:val="56"/>
                      <w:szCs w:val="56"/>
                      <w:lang w:eastAsia="en-GB"/>
                    </w:rPr>
                  </w:pPr>
                  <w:r>
                    <w:rPr>
                      <w:rFonts w:ascii="Cambria" w:eastAsia="Times New Roman" w:hAnsi="Cambria" w:cs="Arial"/>
                      <w:b/>
                      <w:color w:val="000000"/>
                      <w:sz w:val="52"/>
                      <w:szCs w:val="52"/>
                      <w:lang w:eastAsia="en-GB"/>
                    </w:rPr>
                    <w:t>School</w:t>
                  </w:r>
                  <w:r>
                    <w:rPr>
                      <w:rFonts w:ascii="Cambria" w:eastAsia="Times New Roman" w:hAnsi="Cambria" w:cs="Arial"/>
                      <w:b/>
                      <w:color w:val="000000"/>
                      <w:sz w:val="52"/>
                      <w:szCs w:val="52"/>
                      <w:lang w:eastAsia="en-GB"/>
                    </w:rPr>
                    <w:t xml:space="preserve"> and Nursery</w:t>
                  </w:r>
                </w:p>
                <w:p>
                  <w:pPr>
                    <w:spacing w:after="0" w:line="240" w:lineRule="auto"/>
                    <w:jc w:val="center"/>
                    <w:rPr>
                      <w:rFonts w:ascii="Gill Sans MT" w:eastAsia="Times New Roman" w:hAnsi="Gill Sans MT" w:cs="Times New Roman"/>
                      <w:color w:val="000000"/>
                      <w:sz w:val="72"/>
                      <w:szCs w:val="72"/>
                      <w:lang w:eastAsia="en-GB"/>
                    </w:rPr>
                  </w:pPr>
                </w:p>
                <w:p>
                  <w:pPr>
                    <w:spacing w:after="0" w:line="240" w:lineRule="auto"/>
                    <w:jc w:val="center"/>
                    <w:rPr>
                      <w:rFonts w:ascii="Arial" w:eastAsia="Times New Roman" w:hAnsi="Arial" w:cs="Arial"/>
                      <w:b/>
                      <w:color w:val="000000"/>
                      <w:sz w:val="36"/>
                      <w:szCs w:val="36"/>
                      <w:u w:val="single"/>
                    </w:rPr>
                  </w:pPr>
                  <w:r>
                    <w:rPr>
                      <w:rFonts w:ascii="Arial" w:eastAsia="Times New Roman" w:hAnsi="Arial" w:cs="Arial"/>
                      <w:b/>
                      <w:color w:val="000000"/>
                      <w:sz w:val="36"/>
                      <w:szCs w:val="36"/>
                      <w:u w:val="single"/>
                    </w:rPr>
                    <w:t>Nursery FEEE Policy</w:t>
                  </w:r>
                </w:p>
                <w:p>
                  <w:pPr>
                    <w:spacing w:after="0" w:line="240" w:lineRule="auto"/>
                    <w:jc w:val="center"/>
                    <w:rPr>
                      <w:rFonts w:ascii="Arial" w:eastAsia="Times New Roman" w:hAnsi="Arial" w:cs="Arial"/>
                      <w:b/>
                      <w:color w:val="000000"/>
                      <w:sz w:val="24"/>
                      <w:szCs w:val="24"/>
                      <w:lang w:eastAsia="en-GB"/>
                    </w:rPr>
                  </w:pPr>
                </w:p>
                <w:p>
                  <w:pPr>
                    <w:spacing w:after="0" w:line="240" w:lineRule="auto"/>
                    <w:jc w:val="center"/>
                    <w:rPr>
                      <w:rFonts w:ascii="Arial" w:eastAsia="Times New Roman" w:hAnsi="Arial" w:cs="Arial"/>
                      <w:b/>
                      <w:color w:val="000000"/>
                      <w:sz w:val="24"/>
                      <w:szCs w:val="24"/>
                      <w:lang w:eastAsia="en-GB"/>
                    </w:rPr>
                  </w:pPr>
                </w:p>
                <w:p>
                  <w:pPr>
                    <w:keepNext/>
                    <w:keepLines/>
                    <w:spacing w:before="480" w:after="0" w:line="276" w:lineRule="auto"/>
                    <w:jc w:val="center"/>
                    <w:rPr>
                      <w:rFonts w:ascii="Arial" w:eastAsia="MS Gothic" w:hAnsi="Arial" w:cs="Arial"/>
                      <w:b/>
                      <w:bCs/>
                      <w:color w:val="000000"/>
                      <w:sz w:val="32"/>
                      <w:szCs w:val="28"/>
                      <w:lang w:val="en-US" w:eastAsia="ja-JP"/>
                    </w:rPr>
                  </w:pPr>
                </w:p>
                <w:p>
                  <w:pPr>
                    <w:spacing w:after="200" w:line="276" w:lineRule="auto"/>
                    <w:jc w:val="center"/>
                    <w:rPr>
                      <w:rFonts w:ascii="Arial" w:eastAsia="Calibri" w:hAnsi="Arial" w:cs="Arial"/>
                      <w:b/>
                      <w:color w:val="000000"/>
                      <w:lang w:val="en-US"/>
                    </w:rPr>
                  </w:pPr>
                </w:p>
                <w:p>
                  <w:pPr>
                    <w:spacing w:after="200" w:line="276" w:lineRule="auto"/>
                    <w:jc w:val="center"/>
                    <w:rPr>
                      <w:rFonts w:ascii="Arial" w:eastAsia="Calibri" w:hAnsi="Arial" w:cs="Arial"/>
                      <w:b/>
                      <w:color w:val="000000"/>
                      <w:lang w:val="en-US"/>
                    </w:rPr>
                  </w:pPr>
                </w:p>
                <w:p>
                  <w:pPr>
                    <w:spacing w:after="0" w:line="240" w:lineRule="auto"/>
                    <w:jc w:val="center"/>
                    <w:rPr>
                      <w:rFonts w:ascii="Cheltenhm BT" w:eastAsia="Times New Roman" w:hAnsi="Cheltenhm BT" w:cs="Times New Roman"/>
                      <w:color w:val="000000"/>
                      <w:sz w:val="16"/>
                      <w:szCs w:val="20"/>
                    </w:rPr>
                  </w:pPr>
                </w:p>
              </w:tc>
              <w:tc>
                <w:tcPr>
                  <w:tcW w:w="5074" w:type="dxa"/>
                </w:tcPr>
                <w:p>
                  <w:pPr>
                    <w:spacing w:after="0" w:line="240" w:lineRule="auto"/>
                    <w:jc w:val="center"/>
                    <w:rPr>
                      <w:rFonts w:ascii="Cheltenhm BT" w:eastAsia="Times New Roman" w:hAnsi="Cheltenhm BT" w:cs="Times New Roman"/>
                      <w:b/>
                      <w:color w:val="000000"/>
                      <w:sz w:val="32"/>
                      <w:szCs w:val="32"/>
                    </w:rPr>
                  </w:pPr>
                </w:p>
              </w:tc>
              <w:tc>
                <w:tcPr>
                  <w:tcW w:w="264" w:type="dxa"/>
                  <w:tcBorders>
                    <w:left w:val="nil"/>
                  </w:tcBorders>
                </w:tcPr>
                <w:p>
                  <w:pPr>
                    <w:spacing w:after="0" w:line="240" w:lineRule="auto"/>
                    <w:rPr>
                      <w:rFonts w:ascii="Cheltenhm BT" w:eastAsia="Times New Roman" w:hAnsi="Cheltenhm BT" w:cs="Times New Roman"/>
                      <w:color w:val="000000"/>
                      <w:sz w:val="16"/>
                      <w:szCs w:val="20"/>
                    </w:rPr>
                  </w:pPr>
                </w:p>
              </w:tc>
              <w:tc>
                <w:tcPr>
                  <w:tcW w:w="1584" w:type="dxa"/>
                </w:tcPr>
                <w:p>
                  <w:pPr>
                    <w:spacing w:after="0" w:line="240" w:lineRule="auto"/>
                    <w:ind w:left="33" w:hanging="33"/>
                    <w:jc w:val="right"/>
                    <w:rPr>
                      <w:rFonts w:ascii="Cheltenhm BT" w:eastAsia="Times New Roman" w:hAnsi="Cheltenhm BT" w:cs="Times New Roman"/>
                      <w:color w:val="000000"/>
                      <w:sz w:val="20"/>
                      <w:szCs w:val="20"/>
                    </w:rPr>
                  </w:pPr>
                </w:p>
              </w:tc>
            </w:tr>
          </w:tbl>
          <w:p>
            <w:pPr>
              <w:spacing w:after="0" w:line="240" w:lineRule="auto"/>
              <w:rPr>
                <w:rFonts w:ascii="Times New Roman" w:eastAsia="Times New Roman" w:hAnsi="Times New Roman" w:cs="Times New Roman"/>
                <w:color w:val="000000"/>
                <w:sz w:val="20"/>
                <w:szCs w:val="20"/>
              </w:rPr>
            </w:pPr>
          </w:p>
        </w:tc>
      </w:tr>
    </w:tbl>
    <w:p>
      <w:pPr>
        <w:rPr>
          <w:b/>
          <w:sz w:val="32"/>
          <w:szCs w:val="32"/>
          <w:u w:val="single"/>
        </w:rPr>
      </w:pP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6"/>
        <w:gridCol w:w="7229"/>
      </w:tblGrid>
      <w:tr>
        <w:trPr>
          <w:jc w:val="center"/>
        </w:trPr>
        <w:tc>
          <w:tcPr>
            <w:tcW w:w="10065" w:type="dxa"/>
            <w:gridSpan w:val="2"/>
            <w:shd w:val="clear" w:color="auto" w:fill="00B0D3"/>
          </w:tcPr>
          <w:p>
            <w:pPr>
              <w:spacing w:after="200" w:line="360" w:lineRule="auto"/>
              <w:ind w:left="1440" w:hanging="720"/>
              <w:jc w:val="center"/>
              <w:rPr>
                <w:rFonts w:ascii="Calibri" w:eastAsia="Calibri" w:hAnsi="Calibri" w:cs="Arial"/>
                <w:b/>
                <w:color w:val="000000"/>
                <w:szCs w:val="24"/>
              </w:rPr>
            </w:pPr>
            <w:r>
              <w:rPr>
                <w:rFonts w:ascii="Calibri" w:eastAsia="Calibri" w:hAnsi="Calibri" w:cs="Arial"/>
                <w:b/>
                <w:color w:val="000000"/>
                <w:szCs w:val="24"/>
              </w:rPr>
              <w:t>Document Detail</w:t>
            </w:r>
          </w:p>
        </w:tc>
      </w:tr>
      <w:tr>
        <w:trPr>
          <w:trHeight w:val="651"/>
          <w:jc w:val="center"/>
        </w:trPr>
        <w:tc>
          <w:tcPr>
            <w:tcW w:w="2836" w:type="dxa"/>
          </w:tcPr>
          <w:p>
            <w:pPr>
              <w:spacing w:after="200" w:line="360" w:lineRule="auto"/>
              <w:ind w:right="-257"/>
              <w:rPr>
                <w:rFonts w:ascii="Calibri" w:eastAsia="Calibri" w:hAnsi="Calibri" w:cs="Arial"/>
                <w:b/>
                <w:color w:val="000000"/>
              </w:rPr>
            </w:pPr>
            <w:r>
              <w:rPr>
                <w:rFonts w:ascii="Calibri" w:eastAsia="Calibri" w:hAnsi="Calibri" w:cs="Arial"/>
                <w:b/>
                <w:color w:val="000000"/>
              </w:rPr>
              <w:t>Category:</w:t>
            </w:r>
          </w:p>
        </w:tc>
        <w:tc>
          <w:tcPr>
            <w:tcW w:w="7229" w:type="dxa"/>
          </w:tcPr>
          <w:p>
            <w:pPr>
              <w:spacing w:after="200" w:line="360" w:lineRule="auto"/>
              <w:rPr>
                <w:rFonts w:ascii="Calibri" w:eastAsia="Calibri" w:hAnsi="Calibri" w:cs="Arial"/>
                <w:color w:val="000000"/>
              </w:rPr>
            </w:pPr>
            <w:r>
              <w:rPr>
                <w:rFonts w:ascii="Calibri" w:eastAsia="Calibri" w:hAnsi="Calibri" w:cs="Arial"/>
                <w:color w:val="000000"/>
              </w:rPr>
              <w:t>Curriculum Management</w:t>
            </w:r>
          </w:p>
        </w:tc>
      </w:tr>
      <w:tr>
        <w:trPr>
          <w:jc w:val="center"/>
        </w:trPr>
        <w:tc>
          <w:tcPr>
            <w:tcW w:w="2836" w:type="dxa"/>
          </w:tcPr>
          <w:p>
            <w:pPr>
              <w:spacing w:after="200" w:line="360" w:lineRule="auto"/>
              <w:rPr>
                <w:rFonts w:ascii="Calibri" w:eastAsia="Calibri" w:hAnsi="Calibri" w:cs="Arial"/>
                <w:b/>
                <w:color w:val="000000"/>
              </w:rPr>
            </w:pPr>
            <w:r>
              <w:rPr>
                <w:rFonts w:ascii="Calibri" w:eastAsia="Calibri" w:hAnsi="Calibri" w:cs="Arial"/>
                <w:b/>
                <w:color w:val="000000"/>
              </w:rPr>
              <w:t>Authorised By:</w:t>
            </w:r>
          </w:p>
        </w:tc>
        <w:tc>
          <w:tcPr>
            <w:tcW w:w="7229" w:type="dxa"/>
          </w:tcPr>
          <w:p>
            <w:pPr>
              <w:spacing w:after="200" w:line="360" w:lineRule="auto"/>
              <w:rPr>
                <w:rFonts w:ascii="Calibri" w:eastAsia="Calibri" w:hAnsi="Calibri" w:cs="Arial"/>
                <w:color w:val="000000"/>
              </w:rPr>
            </w:pPr>
            <w:r>
              <w:rPr>
                <w:rFonts w:ascii="Calibri" w:eastAsia="Calibri" w:hAnsi="Calibri" w:cs="Arial"/>
                <w:color w:val="000000"/>
              </w:rPr>
              <w:t>Full Governing Body</w:t>
            </w:r>
          </w:p>
        </w:tc>
      </w:tr>
      <w:tr>
        <w:trPr>
          <w:jc w:val="center"/>
        </w:trPr>
        <w:tc>
          <w:tcPr>
            <w:tcW w:w="2836" w:type="dxa"/>
          </w:tcPr>
          <w:p>
            <w:pPr>
              <w:spacing w:after="200" w:line="360" w:lineRule="auto"/>
              <w:rPr>
                <w:rFonts w:ascii="Calibri" w:eastAsia="Calibri" w:hAnsi="Calibri" w:cs="Arial"/>
                <w:b/>
                <w:color w:val="000000"/>
              </w:rPr>
            </w:pPr>
            <w:r>
              <w:rPr>
                <w:rFonts w:ascii="Calibri" w:eastAsia="Calibri" w:hAnsi="Calibri" w:cs="Arial"/>
                <w:b/>
                <w:color w:val="000000"/>
              </w:rPr>
              <w:t>Status:</w:t>
            </w:r>
          </w:p>
        </w:tc>
        <w:tc>
          <w:tcPr>
            <w:tcW w:w="7229" w:type="dxa"/>
          </w:tcPr>
          <w:p>
            <w:pPr>
              <w:spacing w:after="200" w:line="360" w:lineRule="auto"/>
              <w:ind w:left="-2" w:hanging="2"/>
              <w:rPr>
                <w:rFonts w:ascii="Calibri" w:eastAsia="Calibri" w:hAnsi="Calibri" w:cs="Arial"/>
                <w:color w:val="000000"/>
              </w:rPr>
            </w:pPr>
            <w:r>
              <w:rPr>
                <w:rFonts w:ascii="Calibri" w:eastAsia="Calibri" w:hAnsi="Calibri" w:cs="Arial"/>
                <w:color w:val="000000"/>
              </w:rPr>
              <w:t xml:space="preserve">Approved </w:t>
            </w:r>
          </w:p>
        </w:tc>
      </w:tr>
      <w:tr>
        <w:trPr>
          <w:jc w:val="center"/>
        </w:trPr>
        <w:tc>
          <w:tcPr>
            <w:tcW w:w="2836" w:type="dxa"/>
          </w:tcPr>
          <w:p>
            <w:pPr>
              <w:spacing w:after="200" w:line="360" w:lineRule="auto"/>
              <w:rPr>
                <w:rFonts w:ascii="Calibri" w:eastAsia="Calibri" w:hAnsi="Calibri" w:cs="Arial"/>
                <w:b/>
                <w:color w:val="000000"/>
              </w:rPr>
            </w:pPr>
            <w:r>
              <w:rPr>
                <w:rFonts w:ascii="Calibri" w:eastAsia="Calibri" w:hAnsi="Calibri" w:cs="Arial"/>
                <w:b/>
                <w:color w:val="000000"/>
              </w:rPr>
              <w:t>Chair of Governors Signature</w:t>
            </w:r>
          </w:p>
        </w:tc>
        <w:tc>
          <w:tcPr>
            <w:tcW w:w="7229" w:type="dxa"/>
          </w:tcPr>
          <w:p>
            <w:pPr>
              <w:spacing w:after="200" w:line="360" w:lineRule="auto"/>
              <w:rPr>
                <w:rFonts w:ascii="Calibri" w:eastAsia="Calibri" w:hAnsi="Calibri" w:cs="Arial"/>
                <w:color w:val="000000"/>
              </w:rPr>
            </w:pPr>
            <w:r>
              <w:rPr>
                <w:rFonts w:ascii="Calibri" w:eastAsia="Calibri" w:hAnsi="Calibri" w:cs="Arial"/>
                <w:noProof/>
                <w:color w:val="000000"/>
                <w:lang w:eastAsia="en-GB"/>
              </w:rPr>
              <w:drawing>
                <wp:inline distT="0" distB="0" distL="0" distR="0">
                  <wp:extent cx="2725963" cy="762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59852" cy="771473"/>
                          </a:xfrm>
                          <a:prstGeom prst="rect">
                            <a:avLst/>
                          </a:prstGeom>
                          <a:noFill/>
                          <a:ln>
                            <a:noFill/>
                          </a:ln>
                        </pic:spPr>
                      </pic:pic>
                    </a:graphicData>
                  </a:graphic>
                </wp:inline>
              </w:drawing>
            </w:r>
          </w:p>
        </w:tc>
      </w:tr>
      <w:tr>
        <w:trPr>
          <w:jc w:val="center"/>
        </w:trPr>
        <w:tc>
          <w:tcPr>
            <w:tcW w:w="2836" w:type="dxa"/>
          </w:tcPr>
          <w:p>
            <w:pPr>
              <w:spacing w:after="200" w:line="360" w:lineRule="auto"/>
              <w:rPr>
                <w:rFonts w:ascii="Calibri" w:eastAsia="Calibri" w:hAnsi="Calibri" w:cs="Arial"/>
                <w:b/>
                <w:color w:val="000000"/>
              </w:rPr>
            </w:pPr>
            <w:r>
              <w:rPr>
                <w:rFonts w:ascii="Calibri" w:eastAsia="Calibri" w:hAnsi="Calibri" w:cs="Arial"/>
                <w:b/>
                <w:color w:val="000000"/>
              </w:rPr>
              <w:t>Date Approved:</w:t>
            </w:r>
          </w:p>
        </w:tc>
        <w:tc>
          <w:tcPr>
            <w:tcW w:w="7229" w:type="dxa"/>
          </w:tcPr>
          <w:p>
            <w:pPr>
              <w:spacing w:after="200" w:line="360" w:lineRule="auto"/>
              <w:rPr>
                <w:rFonts w:ascii="Calibri" w:eastAsia="Calibri" w:hAnsi="Calibri" w:cs="Arial"/>
                <w:color w:val="000000"/>
              </w:rPr>
            </w:pPr>
            <w:r>
              <w:rPr>
                <w:rFonts w:ascii="Calibri" w:eastAsia="Calibri" w:hAnsi="Calibri" w:cs="Arial"/>
                <w:color w:val="000000"/>
              </w:rPr>
              <w:t>November</w:t>
            </w:r>
            <w:r>
              <w:rPr>
                <w:rFonts w:ascii="Calibri" w:eastAsia="Calibri" w:hAnsi="Calibri" w:cs="Arial"/>
                <w:color w:val="000000"/>
              </w:rPr>
              <w:t xml:space="preserve"> 2025</w:t>
            </w:r>
          </w:p>
        </w:tc>
      </w:tr>
      <w:tr>
        <w:trPr>
          <w:jc w:val="center"/>
        </w:trPr>
        <w:tc>
          <w:tcPr>
            <w:tcW w:w="2836" w:type="dxa"/>
          </w:tcPr>
          <w:p>
            <w:pPr>
              <w:spacing w:after="200" w:line="360" w:lineRule="auto"/>
              <w:rPr>
                <w:rFonts w:ascii="Calibri" w:eastAsia="Calibri" w:hAnsi="Calibri" w:cs="Arial"/>
                <w:b/>
                <w:color w:val="000000"/>
              </w:rPr>
            </w:pPr>
            <w:r>
              <w:rPr>
                <w:rFonts w:ascii="Calibri" w:eastAsia="Calibri" w:hAnsi="Calibri" w:cs="Arial"/>
                <w:b/>
                <w:color w:val="000000"/>
              </w:rPr>
              <w:t>Issue Date:</w:t>
            </w:r>
          </w:p>
        </w:tc>
        <w:tc>
          <w:tcPr>
            <w:tcW w:w="7229" w:type="dxa"/>
          </w:tcPr>
          <w:p>
            <w:pPr>
              <w:spacing w:after="200" w:line="360" w:lineRule="auto"/>
              <w:rPr>
                <w:rFonts w:ascii="Calibri" w:eastAsia="Calibri" w:hAnsi="Calibri" w:cs="Arial"/>
                <w:color w:val="000000"/>
              </w:rPr>
            </w:pPr>
            <w:r>
              <w:rPr>
                <w:rFonts w:ascii="Calibri" w:eastAsia="Calibri" w:hAnsi="Calibri" w:cs="Arial"/>
                <w:color w:val="000000"/>
              </w:rPr>
              <w:t>November</w:t>
            </w:r>
            <w:r>
              <w:rPr>
                <w:rFonts w:ascii="Calibri" w:eastAsia="Calibri" w:hAnsi="Calibri" w:cs="Arial"/>
                <w:color w:val="000000"/>
              </w:rPr>
              <w:t xml:space="preserve"> 2027</w:t>
            </w:r>
          </w:p>
        </w:tc>
      </w:tr>
    </w:tbl>
    <w:p>
      <w:pPr>
        <w:rPr>
          <w:b/>
          <w:sz w:val="32"/>
          <w:szCs w:val="32"/>
          <w:u w:val="single"/>
        </w:rPr>
      </w:pPr>
    </w:p>
    <w:p>
      <w:pPr>
        <w:rPr>
          <w:b/>
          <w:sz w:val="32"/>
          <w:szCs w:val="32"/>
          <w:u w:val="single"/>
        </w:rPr>
      </w:pPr>
      <w:r>
        <w:rPr>
          <w:b/>
          <w:sz w:val="32"/>
          <w:szCs w:val="32"/>
          <w:u w:val="single"/>
        </w:rPr>
        <w:br w:type="page"/>
      </w:r>
      <w:bookmarkStart w:id="0" w:name="_GoBack"/>
      <w:bookmarkEnd w:id="0"/>
    </w:p>
    <w:p>
      <w:pPr>
        <w:jc w:val="center"/>
        <w:rPr>
          <w:b/>
          <w:sz w:val="32"/>
          <w:szCs w:val="32"/>
          <w:u w:val="single"/>
        </w:rPr>
      </w:pPr>
      <w:r>
        <w:rPr>
          <w:b/>
          <w:sz w:val="32"/>
          <w:szCs w:val="32"/>
          <w:u w:val="single"/>
        </w:rPr>
        <w:t>ST CLARE’S NURSERY FEEE POLICY</w:t>
      </w:r>
    </w:p>
    <w:p>
      <w:pPr>
        <w:rPr>
          <w:b/>
          <w:sz w:val="32"/>
          <w:szCs w:val="32"/>
          <w:u w:val="single"/>
        </w:rPr>
      </w:pPr>
      <w:r>
        <w:rPr>
          <w:b/>
          <w:sz w:val="32"/>
          <w:szCs w:val="32"/>
          <w:u w:val="single"/>
        </w:rPr>
        <w:t>OPENING HOURS:</w:t>
      </w:r>
    </w:p>
    <w:p>
      <w:pPr>
        <w:rPr>
          <w:sz w:val="32"/>
          <w:szCs w:val="32"/>
        </w:rPr>
      </w:pPr>
      <w:r>
        <w:rPr>
          <w:sz w:val="32"/>
          <w:szCs w:val="32"/>
        </w:rPr>
        <w:t xml:space="preserve">St Clare’s Nursery is open 8.00 a.m. until 5.00 p.m. Monday to Friday 45 weeks a year. </w:t>
      </w:r>
    </w:p>
    <w:p>
      <w:pPr>
        <w:rPr>
          <w:sz w:val="32"/>
          <w:szCs w:val="32"/>
        </w:rPr>
      </w:pPr>
      <w:r>
        <w:rPr>
          <w:sz w:val="32"/>
          <w:szCs w:val="32"/>
        </w:rPr>
        <w:t>Our session times are as follows:</w:t>
      </w:r>
    </w:p>
    <w:p>
      <w:pPr>
        <w:rPr>
          <w:sz w:val="32"/>
          <w:szCs w:val="32"/>
        </w:rPr>
      </w:pPr>
      <w:r>
        <w:rPr>
          <w:sz w:val="32"/>
          <w:szCs w:val="32"/>
        </w:rPr>
        <w:t>Breakfast Club: 08.00-09.00</w:t>
      </w:r>
      <w:r>
        <w:rPr>
          <w:sz w:val="32"/>
          <w:szCs w:val="32"/>
        </w:rPr>
        <w:br/>
        <w:t>A.M. Session: 09.00-13.00</w:t>
      </w:r>
      <w:r>
        <w:rPr>
          <w:sz w:val="32"/>
          <w:szCs w:val="32"/>
        </w:rPr>
        <w:br/>
        <w:t>P.M. Session: 13.00-15.30</w:t>
      </w:r>
      <w:r>
        <w:rPr>
          <w:sz w:val="32"/>
          <w:szCs w:val="32"/>
        </w:rPr>
        <w:br/>
        <w:t>After School Club: 15.30 – 17.00</w:t>
      </w:r>
    </w:p>
    <w:p>
      <w:pPr>
        <w:rPr>
          <w:sz w:val="32"/>
          <w:szCs w:val="32"/>
        </w:rPr>
      </w:pPr>
      <w:r>
        <w:rPr>
          <w:sz w:val="32"/>
          <w:szCs w:val="32"/>
        </w:rPr>
        <w:t>Any combination of the above hours will be accepted.</w:t>
      </w:r>
    </w:p>
    <w:p>
      <w:pPr>
        <w:rPr>
          <w:b/>
          <w:sz w:val="32"/>
          <w:szCs w:val="32"/>
          <w:u w:val="single"/>
        </w:rPr>
      </w:pPr>
      <w:r>
        <w:rPr>
          <w:b/>
          <w:sz w:val="32"/>
          <w:szCs w:val="32"/>
          <w:u w:val="single"/>
        </w:rPr>
        <w:t>FUNDING:</w:t>
      </w:r>
    </w:p>
    <w:p>
      <w:pPr>
        <w:rPr>
          <w:sz w:val="32"/>
          <w:szCs w:val="32"/>
        </w:rPr>
      </w:pPr>
      <w:r>
        <w:rPr>
          <w:sz w:val="32"/>
          <w:szCs w:val="32"/>
        </w:rPr>
        <w:t>We accept all government funding available as listed below:</w:t>
      </w:r>
    </w:p>
    <w:p>
      <w:pPr>
        <w:spacing w:after="213" w:line="256" w:lineRule="auto"/>
        <w:ind w:left="356"/>
      </w:pPr>
    </w:p>
    <w:p>
      <w:pPr>
        <w:pStyle w:val="Heading1"/>
        <w:spacing w:after="218" w:line="256" w:lineRule="auto"/>
        <w:ind w:left="355" w:right="0"/>
        <w:jc w:val="center"/>
      </w:pPr>
      <w:r>
        <w:rPr>
          <w:u w:val="single" w:color="000000"/>
        </w:rPr>
        <w:t>Working Parent Entitlements</w:t>
      </w:r>
    </w:p>
    <w:p>
      <w:pPr>
        <w:numPr>
          <w:ilvl w:val="0"/>
          <w:numId w:val="1"/>
        </w:numPr>
        <w:spacing w:after="32" w:line="249" w:lineRule="auto"/>
        <w:ind w:hanging="360"/>
        <w:jc w:val="both"/>
      </w:pPr>
      <w:r>
        <w:t xml:space="preserve">Eligible working parents will be able to apply for the Working Parent Entitlement the term after their child turns 9 months. Please note St Clare’s Nursery takes children from 2 years old.   </w:t>
      </w:r>
    </w:p>
    <w:p>
      <w:pPr>
        <w:numPr>
          <w:ilvl w:val="0"/>
          <w:numId w:val="1"/>
        </w:numPr>
        <w:spacing w:after="11" w:line="249" w:lineRule="auto"/>
        <w:ind w:hanging="360"/>
        <w:jc w:val="both"/>
      </w:pPr>
      <w:r>
        <w:t xml:space="preserve">Working parent funding can be applied for on </w:t>
      </w:r>
      <w:hyperlink r:id="rId10" w:history="1">
        <w:r>
          <w:rPr>
            <w:rStyle w:val="Hyperlink"/>
          </w:rPr>
          <w:t>Homepage | Best Start in Life</w:t>
        </w:r>
      </w:hyperlink>
      <w:hyperlink r:id="rId11" w:history="1">
        <w:r>
          <w:rPr>
            <w:rStyle w:val="Hyperlink"/>
            <w:color w:val="000000"/>
            <w:u w:val="none"/>
          </w:rPr>
          <w:t xml:space="preserve"> </w:t>
        </w:r>
      </w:hyperlink>
    </w:p>
    <w:p>
      <w:pPr>
        <w:numPr>
          <w:ilvl w:val="0"/>
          <w:numId w:val="1"/>
        </w:numPr>
        <w:spacing w:after="87" w:line="249" w:lineRule="auto"/>
        <w:ind w:hanging="360"/>
        <w:jc w:val="both"/>
      </w:pPr>
      <w:r>
        <w:t>It is parents’ responsibility to apply for the Working Parent eligibility code</w:t>
      </w:r>
      <w:hyperlink r:id="rId12" w:history="1">
        <w:r>
          <w:rPr>
            <w:rStyle w:val="Hyperlink"/>
            <w:color w:val="000000"/>
            <w:u w:val="none"/>
          </w:rPr>
          <w:t xml:space="preserve"> </w:t>
        </w:r>
      </w:hyperlink>
      <w:hyperlink r:id="rId13" w:history="1">
        <w:r>
          <w:rPr>
            <w:rStyle w:val="Hyperlink"/>
            <w:color w:val="000000"/>
            <w:u w:val="none"/>
          </w:rPr>
          <w:t>b</w:t>
        </w:r>
      </w:hyperlink>
      <w:r>
        <w:t>efore the fixed deadlines 31</w:t>
      </w:r>
      <w:r>
        <w:rPr>
          <w:vertAlign w:val="superscript"/>
        </w:rPr>
        <w:t>st</w:t>
      </w:r>
      <w:r>
        <w:t xml:space="preserve"> March for the Summer term, 31</w:t>
      </w:r>
      <w:r>
        <w:rPr>
          <w:vertAlign w:val="superscript"/>
        </w:rPr>
        <w:t>st</w:t>
      </w:r>
      <w:r>
        <w:t xml:space="preserve"> August for the Autumn term and 31</w:t>
      </w:r>
      <w:r>
        <w:rPr>
          <w:vertAlign w:val="superscript"/>
        </w:rPr>
        <w:t>st</w:t>
      </w:r>
      <w:r>
        <w:t xml:space="preserve"> December for the Spring term and to reconfirm their codes every three months.   </w:t>
      </w:r>
    </w:p>
    <w:p>
      <w:pPr>
        <w:numPr>
          <w:ilvl w:val="0"/>
          <w:numId w:val="1"/>
        </w:numPr>
        <w:spacing w:after="70" w:line="249" w:lineRule="auto"/>
        <w:ind w:hanging="360"/>
        <w:jc w:val="both"/>
      </w:pPr>
      <w:r>
        <w:t xml:space="preserve">Working parents will remain eligible at a current setting if they fall into their grace period but cannot start with a new setting until their code has been reconfirmed and prior to the cut-off date.  </w:t>
      </w:r>
    </w:p>
    <w:p>
      <w:pPr>
        <w:numPr>
          <w:ilvl w:val="0"/>
          <w:numId w:val="1"/>
        </w:numPr>
        <w:spacing w:after="64" w:line="249" w:lineRule="auto"/>
        <w:ind w:hanging="360"/>
        <w:jc w:val="both"/>
      </w:pPr>
      <w:r>
        <w:t>New or lapsed codes will show as eligible once confirmed but cannot be claimed for until the next cut-off date. E.G. A new code confirmed on 2</w:t>
      </w:r>
      <w:r>
        <w:rPr>
          <w:vertAlign w:val="superscript"/>
        </w:rPr>
        <w:t>nd</w:t>
      </w:r>
      <w:r>
        <w:t xml:space="preserve"> January may show the child as eligible, but it has missed the cut off date of 31st December and cannot be used until the </w:t>
      </w:r>
      <w:proofErr w:type="gramStart"/>
      <w:r>
        <w:t>Summer</w:t>
      </w:r>
      <w:proofErr w:type="gramEnd"/>
      <w:r>
        <w:t xml:space="preserve"> term.   </w:t>
      </w:r>
    </w:p>
    <w:p>
      <w:pPr>
        <w:numPr>
          <w:ilvl w:val="0"/>
          <w:numId w:val="1"/>
        </w:numPr>
        <w:spacing w:after="111" w:line="249" w:lineRule="auto"/>
        <w:ind w:hanging="360"/>
        <w:jc w:val="both"/>
      </w:pPr>
      <w:r>
        <w:t xml:space="preserve">Working Parent Entitlement cannot be used once the child has started at reception in school.   </w:t>
      </w:r>
    </w:p>
    <w:p>
      <w:pPr>
        <w:spacing w:after="0" w:line="256" w:lineRule="auto"/>
      </w:pPr>
      <w:r>
        <w:rPr>
          <w:color w:val="FF0000"/>
        </w:rPr>
        <w:t xml:space="preserve"> </w:t>
      </w:r>
    </w:p>
    <w:p>
      <w:pPr>
        <w:pStyle w:val="Heading1"/>
        <w:spacing w:after="1" w:line="256" w:lineRule="auto"/>
        <w:ind w:left="355" w:right="0"/>
        <w:jc w:val="left"/>
      </w:pPr>
      <w:r>
        <w:rPr>
          <w:u w:val="single" w:color="000000"/>
        </w:rPr>
        <w:t>2-year-old Entitlement for families in receipt of government support (FEEE2 15 hours)</w:t>
      </w:r>
      <w:r>
        <w:t xml:space="preserve">  </w:t>
      </w:r>
    </w:p>
    <w:p>
      <w:pPr>
        <w:spacing w:after="0" w:line="256" w:lineRule="auto"/>
        <w:ind w:left="360"/>
      </w:pPr>
      <w:r>
        <w:rPr>
          <w:b/>
        </w:rPr>
        <w:t xml:space="preserve"> </w:t>
      </w:r>
      <w:r>
        <w:t xml:space="preserve"> </w:t>
      </w:r>
    </w:p>
    <w:p>
      <w:pPr>
        <w:ind w:left="370"/>
      </w:pPr>
      <w:r>
        <w:t xml:space="preserve">This is not a universal offer; only eligible children can access this funding via an application process. To check for eligibility and apply, Parents should go to </w:t>
      </w:r>
      <w:hyperlink r:id="rId14" w:history="1">
        <w:r>
          <w:rPr>
            <w:rStyle w:val="Hyperlink"/>
            <w:color w:val="000000"/>
          </w:rPr>
          <w:t>Funded childcare for 2</w:t>
        </w:r>
      </w:hyperlink>
      <w:hyperlink r:id="rId15" w:history="1">
        <w:r>
          <w:rPr>
            <w:rStyle w:val="Hyperlink"/>
            <w:color w:val="000000"/>
          </w:rPr>
          <w:t>-</w:t>
        </w:r>
      </w:hyperlink>
      <w:hyperlink r:id="rId16" w:history="1">
        <w:r>
          <w:rPr>
            <w:rStyle w:val="Hyperlink"/>
            <w:color w:val="000000"/>
          </w:rPr>
          <w:t>year</w:t>
        </w:r>
      </w:hyperlink>
      <w:hyperlink r:id="rId17" w:history="1">
        <w:r>
          <w:rPr>
            <w:rStyle w:val="Hyperlink"/>
            <w:color w:val="000000"/>
          </w:rPr>
          <w:t>-</w:t>
        </w:r>
      </w:hyperlink>
      <w:hyperlink r:id="rId18" w:history="1">
        <w:r>
          <w:rPr>
            <w:rStyle w:val="Hyperlink"/>
            <w:color w:val="000000"/>
          </w:rPr>
          <w:t>olds: Overview | Essex County Council</w:t>
        </w:r>
      </w:hyperlink>
      <w:hyperlink r:id="rId19" w:history="1">
        <w:r>
          <w:rPr>
            <w:rStyle w:val="Hyperlink"/>
            <w:color w:val="000000"/>
            <w:u w:val="none"/>
          </w:rPr>
          <w:t>.</w:t>
        </w:r>
      </w:hyperlink>
      <w:r>
        <w:t xml:space="preserve"> If eligible a parent will be given a unique reference code </w:t>
      </w:r>
      <w:r>
        <w:lastRenderedPageBreak/>
        <w:t xml:space="preserve">starting with TYF which they give to the provider to submit a placement notification. This code does not need to be checked again and remains valid until the term after the child turns three where they will qualify for the universal three-year-old funding of 15 hours.  </w:t>
      </w:r>
    </w:p>
    <w:p>
      <w:pPr>
        <w:ind w:left="370"/>
        <w:rPr>
          <w:b/>
          <w:u w:val="single"/>
        </w:rPr>
      </w:pPr>
      <w:r>
        <w:rPr>
          <w:b/>
          <w:u w:val="single"/>
        </w:rPr>
        <w:t>Universal entitlement for all 3 to 4 year olds (FEEE 3 and 4, 15 hours)</w:t>
      </w:r>
    </w:p>
    <w:p>
      <w:pPr>
        <w:ind w:left="370"/>
        <w:rPr>
          <w:b/>
          <w:u w:val="single"/>
        </w:rPr>
      </w:pPr>
      <w:r>
        <w:t>This is a universal offer for all 3 to 4 year olds who are not entitled to the working parent</w:t>
      </w:r>
      <w:r>
        <w:rPr>
          <w:b/>
          <w:u w:val="single"/>
        </w:rPr>
        <w:t xml:space="preserve"> </w:t>
      </w:r>
      <w:r>
        <w:t>entitlement.</w:t>
      </w:r>
      <w:r>
        <w:rPr>
          <w:b/>
          <w:u w:val="single"/>
        </w:rPr>
        <w:t xml:space="preserve"> </w:t>
      </w:r>
    </w:p>
    <w:p>
      <w:pPr>
        <w:rPr>
          <w:sz w:val="32"/>
          <w:szCs w:val="32"/>
        </w:rPr>
      </w:pPr>
      <w:r>
        <w:rPr>
          <w:sz w:val="32"/>
          <w:szCs w:val="32"/>
        </w:rPr>
        <w:t>Funding is available for 38 weeks a year and St Clare’s Nursery offers a term time only and stretched funding options. (Please note stretched funding is offered termly). Any unused hours within the funding entitlement can be used for holiday club or extension of days.</w:t>
      </w:r>
    </w:p>
    <w:p>
      <w:pPr>
        <w:rPr>
          <w:sz w:val="32"/>
          <w:szCs w:val="32"/>
        </w:rPr>
      </w:pPr>
      <w:r>
        <w:rPr>
          <w:sz w:val="32"/>
          <w:szCs w:val="32"/>
        </w:rPr>
        <w:t xml:space="preserve">For Example: </w:t>
      </w:r>
    </w:p>
    <w:tbl>
      <w:tblPr>
        <w:tblStyle w:val="TableGrid"/>
        <w:tblW w:w="6622" w:type="dxa"/>
        <w:tblInd w:w="1988" w:type="dxa"/>
        <w:tblCellMar>
          <w:top w:w="41" w:type="dxa"/>
          <w:left w:w="106" w:type="dxa"/>
          <w:right w:w="70" w:type="dxa"/>
        </w:tblCellMar>
        <w:tblLook w:val="04A0" w:firstRow="1" w:lastRow="0" w:firstColumn="1" w:lastColumn="0" w:noHBand="0" w:noVBand="1"/>
      </w:tblPr>
      <w:tblGrid>
        <w:gridCol w:w="1273"/>
        <w:gridCol w:w="1138"/>
        <w:gridCol w:w="1700"/>
        <w:gridCol w:w="1277"/>
        <w:gridCol w:w="1234"/>
      </w:tblGrid>
      <w:tr>
        <w:trPr>
          <w:trHeight w:val="883"/>
        </w:trPr>
        <w:tc>
          <w:tcPr>
            <w:tcW w:w="1272" w:type="dxa"/>
            <w:tcBorders>
              <w:top w:val="single" w:sz="4" w:space="0" w:color="000000"/>
              <w:left w:val="single" w:sz="4" w:space="0" w:color="000000"/>
              <w:bottom w:val="single" w:sz="4" w:space="0" w:color="000000"/>
              <w:right w:val="single" w:sz="4" w:space="0" w:color="000000"/>
            </w:tcBorders>
          </w:tcPr>
          <w:p>
            <w:pPr>
              <w:rPr>
                <w:rFonts w:ascii="Calibri" w:eastAsia="Calibri" w:hAnsi="Calibri" w:cs="Calibri"/>
                <w:color w:val="000000"/>
              </w:rPr>
            </w:pPr>
            <w:r>
              <w:rPr>
                <w:rFonts w:ascii="Calibri" w:eastAsia="Calibri" w:hAnsi="Calibri" w:cs="Calibri"/>
                <w:b/>
                <w:color w:val="000000"/>
                <w:sz w:val="18"/>
              </w:rPr>
              <w:t xml:space="preserve">Term </w:t>
            </w:r>
          </w:p>
        </w:tc>
        <w:tc>
          <w:tcPr>
            <w:tcW w:w="1138" w:type="dxa"/>
            <w:tcBorders>
              <w:top w:val="single" w:sz="4" w:space="0" w:color="000000"/>
              <w:left w:val="single" w:sz="4" w:space="0" w:color="000000"/>
              <w:bottom w:val="single" w:sz="4" w:space="0" w:color="000000"/>
              <w:right w:val="single" w:sz="4" w:space="0" w:color="000000"/>
            </w:tcBorders>
          </w:tcPr>
          <w:p>
            <w:pPr>
              <w:ind w:left="5"/>
              <w:jc w:val="both"/>
              <w:rPr>
                <w:rFonts w:ascii="Calibri" w:eastAsia="Calibri" w:hAnsi="Calibri" w:cs="Calibri"/>
                <w:color w:val="000000"/>
              </w:rPr>
            </w:pPr>
            <w:r>
              <w:rPr>
                <w:rFonts w:ascii="Calibri" w:eastAsia="Calibri" w:hAnsi="Calibri" w:cs="Calibri"/>
                <w:b/>
                <w:color w:val="000000"/>
                <w:sz w:val="18"/>
              </w:rPr>
              <w:t xml:space="preserve">Weeks in each term </w:t>
            </w:r>
          </w:p>
        </w:tc>
        <w:tc>
          <w:tcPr>
            <w:tcW w:w="1700" w:type="dxa"/>
            <w:tcBorders>
              <w:top w:val="single" w:sz="4" w:space="0" w:color="000000"/>
              <w:left w:val="single" w:sz="4" w:space="0" w:color="000000"/>
              <w:bottom w:val="single" w:sz="4" w:space="0" w:color="000000"/>
              <w:right w:val="single" w:sz="4" w:space="0" w:color="000000"/>
            </w:tcBorders>
          </w:tcPr>
          <w:p>
            <w:pPr>
              <w:ind w:left="5"/>
              <w:rPr>
                <w:rFonts w:ascii="Calibri" w:eastAsia="Calibri" w:hAnsi="Calibri" w:cs="Calibri"/>
                <w:color w:val="000000"/>
              </w:rPr>
            </w:pPr>
            <w:r>
              <w:rPr>
                <w:rFonts w:ascii="Calibri" w:eastAsia="Calibri" w:hAnsi="Calibri" w:cs="Calibri"/>
                <w:b/>
                <w:color w:val="000000"/>
                <w:sz w:val="18"/>
              </w:rPr>
              <w:t xml:space="preserve">Maximum </w:t>
            </w:r>
          </w:p>
          <w:p>
            <w:pPr>
              <w:ind w:left="5"/>
              <w:rPr>
                <w:rFonts w:ascii="Calibri" w:eastAsia="Calibri" w:hAnsi="Calibri" w:cs="Calibri"/>
                <w:color w:val="000000"/>
              </w:rPr>
            </w:pPr>
            <w:r>
              <w:rPr>
                <w:rFonts w:ascii="Calibri" w:eastAsia="Calibri" w:hAnsi="Calibri" w:cs="Calibri"/>
                <w:b/>
                <w:color w:val="000000"/>
                <w:sz w:val="18"/>
              </w:rPr>
              <w:t xml:space="preserve">stretched weekly entitlement </w:t>
            </w:r>
          </w:p>
        </w:tc>
        <w:tc>
          <w:tcPr>
            <w:tcW w:w="1277" w:type="dxa"/>
            <w:tcBorders>
              <w:top w:val="single" w:sz="4" w:space="0" w:color="000000"/>
              <w:left w:val="single" w:sz="4" w:space="0" w:color="000000"/>
              <w:bottom w:val="single" w:sz="4" w:space="0" w:color="000000"/>
              <w:right w:val="single" w:sz="4" w:space="0" w:color="000000"/>
            </w:tcBorders>
          </w:tcPr>
          <w:p>
            <w:pPr>
              <w:ind w:left="5" w:right="23"/>
              <w:rPr>
                <w:rFonts w:ascii="Calibri" w:eastAsia="Calibri" w:hAnsi="Calibri" w:cs="Calibri"/>
                <w:color w:val="000000"/>
              </w:rPr>
            </w:pPr>
            <w:r>
              <w:rPr>
                <w:rFonts w:ascii="Calibri" w:eastAsia="Calibri" w:hAnsi="Calibri" w:cs="Calibri"/>
                <w:b/>
                <w:color w:val="000000"/>
                <w:sz w:val="18"/>
              </w:rPr>
              <w:t xml:space="preserve">Funded weeks in term </w:t>
            </w:r>
          </w:p>
        </w:tc>
        <w:tc>
          <w:tcPr>
            <w:tcW w:w="1234" w:type="dxa"/>
            <w:tcBorders>
              <w:top w:val="single" w:sz="4" w:space="0" w:color="000000"/>
              <w:left w:val="single" w:sz="4" w:space="0" w:color="000000"/>
              <w:bottom w:val="single" w:sz="4" w:space="0" w:color="000000"/>
              <w:right w:val="single" w:sz="4" w:space="0" w:color="000000"/>
            </w:tcBorders>
          </w:tcPr>
          <w:p>
            <w:pPr>
              <w:ind w:left="5"/>
              <w:jc w:val="both"/>
              <w:rPr>
                <w:rFonts w:ascii="Calibri" w:eastAsia="Calibri" w:hAnsi="Calibri" w:cs="Calibri"/>
                <w:color w:val="000000"/>
              </w:rPr>
            </w:pPr>
            <w:r>
              <w:rPr>
                <w:rFonts w:ascii="Calibri" w:eastAsia="Calibri" w:hAnsi="Calibri" w:cs="Calibri"/>
                <w:b/>
                <w:color w:val="000000"/>
                <w:sz w:val="18"/>
              </w:rPr>
              <w:t xml:space="preserve">Number of FEEE hours </w:t>
            </w:r>
          </w:p>
        </w:tc>
      </w:tr>
      <w:tr>
        <w:trPr>
          <w:trHeight w:val="427"/>
        </w:trPr>
        <w:tc>
          <w:tcPr>
            <w:tcW w:w="1272" w:type="dxa"/>
            <w:tcBorders>
              <w:top w:val="single" w:sz="4" w:space="0" w:color="000000"/>
              <w:left w:val="single" w:sz="4" w:space="0" w:color="000000"/>
              <w:bottom w:val="single" w:sz="4" w:space="0" w:color="000000"/>
              <w:right w:val="single" w:sz="4" w:space="0" w:color="000000"/>
            </w:tcBorders>
          </w:tcPr>
          <w:p>
            <w:pPr>
              <w:rPr>
                <w:rFonts w:ascii="Calibri" w:eastAsia="Calibri" w:hAnsi="Calibri" w:cs="Calibri"/>
                <w:color w:val="000000"/>
              </w:rPr>
            </w:pPr>
            <w:r>
              <w:rPr>
                <w:rFonts w:ascii="Calibri" w:eastAsia="Calibri" w:hAnsi="Calibri" w:cs="Calibri"/>
                <w:color w:val="000000"/>
                <w:sz w:val="18"/>
              </w:rPr>
              <w:t xml:space="preserve">Summer </w:t>
            </w:r>
          </w:p>
        </w:tc>
        <w:tc>
          <w:tcPr>
            <w:tcW w:w="1138" w:type="dxa"/>
            <w:tcBorders>
              <w:top w:val="single" w:sz="4" w:space="0" w:color="000000"/>
              <w:left w:val="single" w:sz="4" w:space="0" w:color="000000"/>
              <w:bottom w:val="single" w:sz="4" w:space="0" w:color="000000"/>
              <w:right w:val="single" w:sz="4" w:space="0" w:color="000000"/>
            </w:tcBorders>
          </w:tcPr>
          <w:p>
            <w:pPr>
              <w:ind w:left="5"/>
              <w:rPr>
                <w:rFonts w:ascii="Calibri" w:eastAsia="Calibri" w:hAnsi="Calibri" w:cs="Calibri"/>
                <w:color w:val="000000"/>
              </w:rPr>
            </w:pPr>
            <w:r>
              <w:rPr>
                <w:rFonts w:ascii="Calibri" w:eastAsia="Calibri" w:hAnsi="Calibri" w:cs="Calibri"/>
                <w:color w:val="000000"/>
                <w:sz w:val="18"/>
              </w:rPr>
              <w:t>16</w:t>
            </w:r>
          </w:p>
        </w:tc>
        <w:tc>
          <w:tcPr>
            <w:tcW w:w="1700" w:type="dxa"/>
            <w:tcBorders>
              <w:top w:val="single" w:sz="4" w:space="0" w:color="000000"/>
              <w:left w:val="single" w:sz="4" w:space="0" w:color="000000"/>
              <w:bottom w:val="single" w:sz="4" w:space="0" w:color="000000"/>
              <w:right w:val="single" w:sz="4" w:space="0" w:color="000000"/>
            </w:tcBorders>
          </w:tcPr>
          <w:p>
            <w:pPr>
              <w:ind w:left="5"/>
              <w:rPr>
                <w:rFonts w:ascii="Calibri" w:eastAsia="Calibri" w:hAnsi="Calibri" w:cs="Calibri"/>
                <w:color w:val="000000"/>
              </w:rPr>
            </w:pPr>
            <w:r>
              <w:rPr>
                <w:rFonts w:ascii="Calibri" w:eastAsia="Calibri" w:hAnsi="Calibri" w:cs="Calibri"/>
                <w:color w:val="000000"/>
                <w:sz w:val="18"/>
              </w:rPr>
              <w:t xml:space="preserve">12.19 </w:t>
            </w:r>
          </w:p>
        </w:tc>
        <w:tc>
          <w:tcPr>
            <w:tcW w:w="1277" w:type="dxa"/>
            <w:tcBorders>
              <w:top w:val="single" w:sz="4" w:space="0" w:color="000000"/>
              <w:left w:val="single" w:sz="4" w:space="0" w:color="000000"/>
              <w:bottom w:val="single" w:sz="4" w:space="0" w:color="000000"/>
              <w:right w:val="single" w:sz="4" w:space="0" w:color="000000"/>
            </w:tcBorders>
          </w:tcPr>
          <w:p>
            <w:pPr>
              <w:ind w:left="5"/>
              <w:rPr>
                <w:rFonts w:ascii="Calibri" w:eastAsia="Calibri" w:hAnsi="Calibri" w:cs="Calibri"/>
                <w:color w:val="000000"/>
              </w:rPr>
            </w:pPr>
            <w:r>
              <w:rPr>
                <w:rFonts w:ascii="Calibri" w:eastAsia="Calibri" w:hAnsi="Calibri" w:cs="Calibri"/>
                <w:color w:val="000000"/>
                <w:sz w:val="18"/>
              </w:rPr>
              <w:t xml:space="preserve">13 </w:t>
            </w:r>
          </w:p>
        </w:tc>
        <w:tc>
          <w:tcPr>
            <w:tcW w:w="1234" w:type="dxa"/>
            <w:tcBorders>
              <w:top w:val="single" w:sz="4" w:space="0" w:color="000000"/>
              <w:left w:val="single" w:sz="4" w:space="0" w:color="000000"/>
              <w:bottom w:val="single" w:sz="4" w:space="0" w:color="000000"/>
              <w:right w:val="single" w:sz="4" w:space="0" w:color="000000"/>
            </w:tcBorders>
          </w:tcPr>
          <w:p>
            <w:pPr>
              <w:ind w:left="5"/>
              <w:rPr>
                <w:rFonts w:ascii="Calibri" w:eastAsia="Calibri" w:hAnsi="Calibri" w:cs="Calibri"/>
                <w:color w:val="000000"/>
              </w:rPr>
            </w:pPr>
            <w:r>
              <w:rPr>
                <w:rFonts w:ascii="Calibri" w:eastAsia="Calibri" w:hAnsi="Calibri" w:cs="Calibri"/>
                <w:color w:val="000000"/>
                <w:sz w:val="18"/>
              </w:rPr>
              <w:t xml:space="preserve">195 </w:t>
            </w:r>
          </w:p>
        </w:tc>
      </w:tr>
      <w:tr>
        <w:trPr>
          <w:trHeight w:val="423"/>
        </w:trPr>
        <w:tc>
          <w:tcPr>
            <w:tcW w:w="1272" w:type="dxa"/>
            <w:tcBorders>
              <w:top w:val="single" w:sz="4" w:space="0" w:color="000000"/>
              <w:left w:val="single" w:sz="4" w:space="0" w:color="000000"/>
              <w:bottom w:val="single" w:sz="4" w:space="0" w:color="000000"/>
              <w:right w:val="single" w:sz="4" w:space="0" w:color="000000"/>
            </w:tcBorders>
          </w:tcPr>
          <w:p>
            <w:pPr>
              <w:rPr>
                <w:rFonts w:ascii="Calibri" w:eastAsia="Calibri" w:hAnsi="Calibri" w:cs="Calibri"/>
                <w:color w:val="000000"/>
              </w:rPr>
            </w:pPr>
            <w:r>
              <w:rPr>
                <w:rFonts w:ascii="Calibri" w:eastAsia="Calibri" w:hAnsi="Calibri" w:cs="Calibri"/>
                <w:color w:val="000000"/>
                <w:sz w:val="18"/>
              </w:rPr>
              <w:t xml:space="preserve">Autumn </w:t>
            </w:r>
          </w:p>
        </w:tc>
        <w:tc>
          <w:tcPr>
            <w:tcW w:w="1138" w:type="dxa"/>
            <w:tcBorders>
              <w:top w:val="single" w:sz="4" w:space="0" w:color="000000"/>
              <w:left w:val="single" w:sz="4" w:space="0" w:color="000000"/>
              <w:bottom w:val="single" w:sz="4" w:space="0" w:color="000000"/>
              <w:right w:val="single" w:sz="4" w:space="0" w:color="000000"/>
            </w:tcBorders>
          </w:tcPr>
          <w:p>
            <w:pPr>
              <w:ind w:left="5"/>
              <w:rPr>
                <w:rFonts w:ascii="Calibri" w:eastAsia="Calibri" w:hAnsi="Calibri" w:cs="Calibri"/>
                <w:color w:val="000000"/>
              </w:rPr>
            </w:pPr>
            <w:r>
              <w:rPr>
                <w:rFonts w:ascii="Calibri" w:eastAsia="Calibri" w:hAnsi="Calibri" w:cs="Calibri"/>
                <w:color w:val="000000"/>
                <w:sz w:val="18"/>
              </w:rPr>
              <w:t>16</w:t>
            </w:r>
          </w:p>
        </w:tc>
        <w:tc>
          <w:tcPr>
            <w:tcW w:w="1700" w:type="dxa"/>
            <w:tcBorders>
              <w:top w:val="single" w:sz="4" w:space="0" w:color="000000"/>
              <w:left w:val="single" w:sz="4" w:space="0" w:color="000000"/>
              <w:bottom w:val="single" w:sz="4" w:space="0" w:color="000000"/>
              <w:right w:val="single" w:sz="4" w:space="0" w:color="000000"/>
            </w:tcBorders>
          </w:tcPr>
          <w:p>
            <w:pPr>
              <w:ind w:left="5"/>
              <w:rPr>
                <w:rFonts w:ascii="Calibri" w:eastAsia="Calibri" w:hAnsi="Calibri" w:cs="Calibri"/>
                <w:color w:val="000000"/>
              </w:rPr>
            </w:pPr>
            <w:r>
              <w:rPr>
                <w:rFonts w:ascii="Calibri" w:eastAsia="Calibri" w:hAnsi="Calibri" w:cs="Calibri"/>
                <w:color w:val="000000"/>
                <w:sz w:val="18"/>
              </w:rPr>
              <w:t xml:space="preserve">13.13 </w:t>
            </w:r>
          </w:p>
        </w:tc>
        <w:tc>
          <w:tcPr>
            <w:tcW w:w="1277" w:type="dxa"/>
            <w:tcBorders>
              <w:top w:val="single" w:sz="4" w:space="0" w:color="000000"/>
              <w:left w:val="single" w:sz="4" w:space="0" w:color="000000"/>
              <w:bottom w:val="single" w:sz="4" w:space="0" w:color="000000"/>
              <w:right w:val="single" w:sz="4" w:space="0" w:color="000000"/>
            </w:tcBorders>
          </w:tcPr>
          <w:p>
            <w:pPr>
              <w:ind w:left="5"/>
              <w:rPr>
                <w:rFonts w:ascii="Calibri" w:eastAsia="Calibri" w:hAnsi="Calibri" w:cs="Calibri"/>
                <w:color w:val="000000"/>
              </w:rPr>
            </w:pPr>
            <w:r>
              <w:rPr>
                <w:rFonts w:ascii="Calibri" w:eastAsia="Calibri" w:hAnsi="Calibri" w:cs="Calibri"/>
                <w:color w:val="000000"/>
                <w:sz w:val="18"/>
              </w:rPr>
              <w:t xml:space="preserve">14 </w:t>
            </w:r>
          </w:p>
        </w:tc>
        <w:tc>
          <w:tcPr>
            <w:tcW w:w="1234" w:type="dxa"/>
            <w:tcBorders>
              <w:top w:val="single" w:sz="4" w:space="0" w:color="000000"/>
              <w:left w:val="single" w:sz="4" w:space="0" w:color="000000"/>
              <w:bottom w:val="single" w:sz="4" w:space="0" w:color="000000"/>
              <w:right w:val="single" w:sz="4" w:space="0" w:color="000000"/>
            </w:tcBorders>
          </w:tcPr>
          <w:p>
            <w:pPr>
              <w:ind w:left="5"/>
              <w:rPr>
                <w:rFonts w:ascii="Calibri" w:eastAsia="Calibri" w:hAnsi="Calibri" w:cs="Calibri"/>
                <w:color w:val="000000"/>
              </w:rPr>
            </w:pPr>
            <w:r>
              <w:rPr>
                <w:rFonts w:ascii="Calibri" w:eastAsia="Calibri" w:hAnsi="Calibri" w:cs="Calibri"/>
                <w:color w:val="000000"/>
                <w:sz w:val="18"/>
              </w:rPr>
              <w:t xml:space="preserve">210 </w:t>
            </w:r>
          </w:p>
        </w:tc>
      </w:tr>
      <w:tr>
        <w:trPr>
          <w:trHeight w:val="427"/>
        </w:trPr>
        <w:tc>
          <w:tcPr>
            <w:tcW w:w="1272" w:type="dxa"/>
            <w:tcBorders>
              <w:top w:val="single" w:sz="4" w:space="0" w:color="000000"/>
              <w:left w:val="single" w:sz="4" w:space="0" w:color="000000"/>
              <w:bottom w:val="single" w:sz="4" w:space="0" w:color="000000"/>
              <w:right w:val="single" w:sz="4" w:space="0" w:color="000000"/>
            </w:tcBorders>
          </w:tcPr>
          <w:p>
            <w:pPr>
              <w:rPr>
                <w:rFonts w:ascii="Calibri" w:eastAsia="Calibri" w:hAnsi="Calibri" w:cs="Calibri"/>
                <w:color w:val="000000"/>
              </w:rPr>
            </w:pPr>
            <w:r>
              <w:rPr>
                <w:rFonts w:ascii="Calibri" w:eastAsia="Calibri" w:hAnsi="Calibri" w:cs="Calibri"/>
                <w:color w:val="000000"/>
                <w:sz w:val="18"/>
              </w:rPr>
              <w:t xml:space="preserve">Spring </w:t>
            </w:r>
          </w:p>
        </w:tc>
        <w:tc>
          <w:tcPr>
            <w:tcW w:w="1138" w:type="dxa"/>
            <w:tcBorders>
              <w:top w:val="single" w:sz="4" w:space="0" w:color="000000"/>
              <w:left w:val="single" w:sz="4" w:space="0" w:color="000000"/>
              <w:bottom w:val="single" w:sz="4" w:space="0" w:color="000000"/>
              <w:right w:val="single" w:sz="4" w:space="0" w:color="000000"/>
            </w:tcBorders>
          </w:tcPr>
          <w:p>
            <w:pPr>
              <w:ind w:left="5"/>
              <w:rPr>
                <w:rFonts w:ascii="Calibri" w:eastAsia="Calibri" w:hAnsi="Calibri" w:cs="Calibri"/>
                <w:color w:val="000000"/>
              </w:rPr>
            </w:pPr>
            <w:r>
              <w:rPr>
                <w:rFonts w:ascii="Calibri" w:eastAsia="Calibri" w:hAnsi="Calibri" w:cs="Calibri"/>
                <w:color w:val="000000"/>
                <w:sz w:val="18"/>
              </w:rPr>
              <w:t xml:space="preserve">13 </w:t>
            </w:r>
          </w:p>
        </w:tc>
        <w:tc>
          <w:tcPr>
            <w:tcW w:w="1700" w:type="dxa"/>
            <w:tcBorders>
              <w:top w:val="single" w:sz="4" w:space="0" w:color="000000"/>
              <w:left w:val="single" w:sz="4" w:space="0" w:color="000000"/>
              <w:bottom w:val="single" w:sz="4" w:space="0" w:color="000000"/>
              <w:right w:val="single" w:sz="4" w:space="0" w:color="000000"/>
            </w:tcBorders>
          </w:tcPr>
          <w:p>
            <w:pPr>
              <w:ind w:left="5"/>
              <w:rPr>
                <w:rFonts w:ascii="Calibri" w:eastAsia="Calibri" w:hAnsi="Calibri" w:cs="Calibri"/>
                <w:color w:val="000000"/>
              </w:rPr>
            </w:pPr>
            <w:r>
              <w:rPr>
                <w:rFonts w:ascii="Calibri" w:eastAsia="Calibri" w:hAnsi="Calibri" w:cs="Calibri"/>
                <w:color w:val="000000"/>
                <w:sz w:val="18"/>
              </w:rPr>
              <w:t xml:space="preserve">12.69 </w:t>
            </w:r>
          </w:p>
        </w:tc>
        <w:tc>
          <w:tcPr>
            <w:tcW w:w="1277" w:type="dxa"/>
            <w:tcBorders>
              <w:top w:val="single" w:sz="4" w:space="0" w:color="000000"/>
              <w:left w:val="single" w:sz="4" w:space="0" w:color="000000"/>
              <w:bottom w:val="single" w:sz="4" w:space="0" w:color="000000"/>
              <w:right w:val="single" w:sz="4" w:space="0" w:color="000000"/>
            </w:tcBorders>
          </w:tcPr>
          <w:p>
            <w:pPr>
              <w:ind w:left="5"/>
              <w:rPr>
                <w:rFonts w:ascii="Calibri" w:eastAsia="Calibri" w:hAnsi="Calibri" w:cs="Calibri"/>
                <w:color w:val="000000"/>
              </w:rPr>
            </w:pPr>
            <w:r>
              <w:rPr>
                <w:rFonts w:ascii="Calibri" w:eastAsia="Calibri" w:hAnsi="Calibri" w:cs="Calibri"/>
                <w:color w:val="000000"/>
                <w:sz w:val="18"/>
              </w:rPr>
              <w:t xml:space="preserve">11 </w:t>
            </w:r>
          </w:p>
        </w:tc>
        <w:tc>
          <w:tcPr>
            <w:tcW w:w="1234" w:type="dxa"/>
            <w:tcBorders>
              <w:top w:val="single" w:sz="4" w:space="0" w:color="000000"/>
              <w:left w:val="single" w:sz="4" w:space="0" w:color="000000"/>
              <w:bottom w:val="single" w:sz="4" w:space="0" w:color="000000"/>
              <w:right w:val="single" w:sz="4" w:space="0" w:color="000000"/>
            </w:tcBorders>
          </w:tcPr>
          <w:p>
            <w:pPr>
              <w:ind w:left="5"/>
              <w:rPr>
                <w:rFonts w:ascii="Calibri" w:eastAsia="Calibri" w:hAnsi="Calibri" w:cs="Calibri"/>
                <w:color w:val="000000"/>
              </w:rPr>
            </w:pPr>
            <w:r>
              <w:rPr>
                <w:rFonts w:ascii="Calibri" w:eastAsia="Calibri" w:hAnsi="Calibri" w:cs="Calibri"/>
                <w:color w:val="000000"/>
                <w:sz w:val="18"/>
              </w:rPr>
              <w:t xml:space="preserve">165 </w:t>
            </w:r>
          </w:p>
        </w:tc>
      </w:tr>
      <w:tr>
        <w:trPr>
          <w:trHeight w:val="422"/>
        </w:trPr>
        <w:tc>
          <w:tcPr>
            <w:tcW w:w="1272" w:type="dxa"/>
            <w:tcBorders>
              <w:top w:val="single" w:sz="4" w:space="0" w:color="000000"/>
              <w:left w:val="single" w:sz="4" w:space="0" w:color="000000"/>
              <w:bottom w:val="single" w:sz="4" w:space="0" w:color="000000"/>
              <w:right w:val="single" w:sz="4" w:space="0" w:color="000000"/>
            </w:tcBorders>
          </w:tcPr>
          <w:p>
            <w:pPr>
              <w:rPr>
                <w:rFonts w:ascii="Calibri" w:eastAsia="Calibri" w:hAnsi="Calibri" w:cs="Calibri"/>
                <w:color w:val="000000"/>
              </w:rPr>
            </w:pPr>
            <w:r>
              <w:rPr>
                <w:rFonts w:ascii="Calibri" w:eastAsia="Calibri" w:hAnsi="Calibri" w:cs="Calibri"/>
                <w:color w:val="000000"/>
                <w:sz w:val="18"/>
              </w:rPr>
              <w:t xml:space="preserve">Total per year </w:t>
            </w:r>
          </w:p>
        </w:tc>
        <w:tc>
          <w:tcPr>
            <w:tcW w:w="1138" w:type="dxa"/>
            <w:tcBorders>
              <w:top w:val="single" w:sz="4" w:space="0" w:color="000000"/>
              <w:left w:val="single" w:sz="4" w:space="0" w:color="000000"/>
              <w:bottom w:val="single" w:sz="4" w:space="0" w:color="000000"/>
              <w:right w:val="single" w:sz="4" w:space="0" w:color="000000"/>
            </w:tcBorders>
          </w:tcPr>
          <w:p>
            <w:pPr>
              <w:ind w:left="5"/>
              <w:rPr>
                <w:rFonts w:ascii="Calibri" w:eastAsia="Calibri" w:hAnsi="Calibri" w:cs="Calibri"/>
                <w:color w:val="000000"/>
              </w:rPr>
            </w:pPr>
            <w:r>
              <w:rPr>
                <w:rFonts w:ascii="Calibri" w:eastAsia="Calibri" w:hAnsi="Calibri" w:cs="Calibri"/>
                <w:color w:val="000000"/>
                <w:sz w:val="18"/>
              </w:rPr>
              <w:t xml:space="preserve">45 </w:t>
            </w:r>
          </w:p>
        </w:tc>
        <w:tc>
          <w:tcPr>
            <w:tcW w:w="1700" w:type="dxa"/>
            <w:tcBorders>
              <w:top w:val="single" w:sz="4" w:space="0" w:color="000000"/>
              <w:left w:val="single" w:sz="4" w:space="0" w:color="000000"/>
              <w:bottom w:val="single" w:sz="4" w:space="0" w:color="000000"/>
              <w:right w:val="single" w:sz="4" w:space="0" w:color="000000"/>
            </w:tcBorders>
          </w:tcPr>
          <w:p>
            <w:pPr>
              <w:ind w:left="5"/>
              <w:rPr>
                <w:rFonts w:ascii="Calibri" w:eastAsia="Calibri" w:hAnsi="Calibri" w:cs="Calibri"/>
                <w:color w:val="000000"/>
              </w:rPr>
            </w:pPr>
            <w:r>
              <w:rPr>
                <w:rFonts w:ascii="Calibri" w:eastAsia="Calibri" w:hAnsi="Calibri" w:cs="Calibri"/>
                <w:color w:val="000000"/>
                <w:sz w:val="18"/>
              </w:rPr>
              <w:t xml:space="preserve"> </w:t>
            </w:r>
          </w:p>
        </w:tc>
        <w:tc>
          <w:tcPr>
            <w:tcW w:w="1277" w:type="dxa"/>
            <w:tcBorders>
              <w:top w:val="single" w:sz="4" w:space="0" w:color="000000"/>
              <w:left w:val="single" w:sz="4" w:space="0" w:color="000000"/>
              <w:bottom w:val="single" w:sz="4" w:space="0" w:color="000000"/>
              <w:right w:val="single" w:sz="4" w:space="0" w:color="000000"/>
            </w:tcBorders>
          </w:tcPr>
          <w:p>
            <w:pPr>
              <w:ind w:left="5"/>
              <w:rPr>
                <w:rFonts w:ascii="Calibri" w:eastAsia="Calibri" w:hAnsi="Calibri" w:cs="Calibri"/>
                <w:color w:val="000000"/>
              </w:rPr>
            </w:pPr>
            <w:r>
              <w:rPr>
                <w:rFonts w:ascii="Calibri" w:eastAsia="Calibri" w:hAnsi="Calibri" w:cs="Calibri"/>
                <w:color w:val="000000"/>
                <w:sz w:val="18"/>
              </w:rPr>
              <w:t xml:space="preserve">38 </w:t>
            </w:r>
          </w:p>
        </w:tc>
        <w:tc>
          <w:tcPr>
            <w:tcW w:w="1234" w:type="dxa"/>
            <w:tcBorders>
              <w:top w:val="single" w:sz="4" w:space="0" w:color="000000"/>
              <w:left w:val="single" w:sz="4" w:space="0" w:color="000000"/>
              <w:bottom w:val="single" w:sz="4" w:space="0" w:color="000000"/>
              <w:right w:val="single" w:sz="4" w:space="0" w:color="000000"/>
            </w:tcBorders>
          </w:tcPr>
          <w:p>
            <w:pPr>
              <w:ind w:left="5"/>
              <w:rPr>
                <w:rFonts w:ascii="Calibri" w:eastAsia="Calibri" w:hAnsi="Calibri" w:cs="Calibri"/>
                <w:color w:val="000000"/>
              </w:rPr>
            </w:pPr>
            <w:r>
              <w:rPr>
                <w:rFonts w:ascii="Calibri" w:eastAsia="Calibri" w:hAnsi="Calibri" w:cs="Calibri"/>
                <w:color w:val="000000"/>
                <w:sz w:val="18"/>
              </w:rPr>
              <w:t xml:space="preserve">570 </w:t>
            </w:r>
          </w:p>
        </w:tc>
      </w:tr>
    </w:tbl>
    <w:p>
      <w:pPr>
        <w:rPr>
          <w:sz w:val="32"/>
          <w:szCs w:val="32"/>
        </w:rPr>
      </w:pPr>
    </w:p>
    <w:p>
      <w:pPr>
        <w:rPr>
          <w:sz w:val="32"/>
          <w:szCs w:val="32"/>
        </w:rPr>
      </w:pPr>
      <w:r>
        <w:rPr>
          <w:sz w:val="32"/>
          <w:szCs w:val="32"/>
        </w:rPr>
        <w:t xml:space="preserve">Any hours over and above the funded hours available will be charged for. (Please contact the nursery for hourly rates). </w:t>
      </w:r>
    </w:p>
    <w:p>
      <w:pPr>
        <w:rPr>
          <w:sz w:val="32"/>
          <w:szCs w:val="32"/>
        </w:rPr>
      </w:pPr>
      <w:r>
        <w:rPr>
          <w:sz w:val="32"/>
          <w:szCs w:val="32"/>
        </w:rPr>
        <w:t>VOLUNTARY CHARGEABLE EXTRAS:</w:t>
      </w:r>
    </w:p>
    <w:p>
      <w:pPr>
        <w:rPr>
          <w:sz w:val="32"/>
          <w:szCs w:val="32"/>
        </w:rPr>
      </w:pPr>
      <w:r>
        <w:rPr>
          <w:sz w:val="32"/>
          <w:szCs w:val="32"/>
        </w:rPr>
        <w:t>The DFE STATES:</w:t>
      </w:r>
    </w:p>
    <w:p>
      <w:pPr>
        <w:spacing w:after="138" w:line="268" w:lineRule="auto"/>
        <w:ind w:left="10" w:hanging="10"/>
        <w:jc w:val="both"/>
        <w:rPr>
          <w:rFonts w:ascii="Calibri" w:eastAsia="Calibri" w:hAnsi="Calibri" w:cs="Calibri"/>
          <w:i/>
          <w:color w:val="0B0C0C"/>
          <w:sz w:val="20"/>
          <w:lang w:eastAsia="en-GB"/>
        </w:rPr>
      </w:pPr>
      <w:hyperlink r:id="rId20">
        <w:r>
          <w:rPr>
            <w:rFonts w:ascii="Calibri" w:eastAsia="Calibri" w:hAnsi="Calibri" w:cs="Calibri"/>
            <w:color w:val="0B0C0C"/>
            <w:sz w:val="20"/>
            <w:lang w:eastAsia="en-GB"/>
          </w:rPr>
          <w:t>’</w:t>
        </w:r>
      </w:hyperlink>
      <w:hyperlink r:id="rId21">
        <w:r>
          <w:rPr>
            <w:rFonts w:ascii="Calibri" w:eastAsia="Calibri" w:hAnsi="Calibri" w:cs="Calibri"/>
            <w:i/>
            <w:color w:val="0B0C0C"/>
            <w:sz w:val="20"/>
            <w:lang w:eastAsia="en-GB"/>
          </w:rPr>
          <w:t>G</w:t>
        </w:r>
      </w:hyperlink>
      <w:r>
        <w:rPr>
          <w:rFonts w:ascii="Calibri" w:eastAsia="Calibri" w:hAnsi="Calibri" w:cs="Calibri"/>
          <w:i/>
          <w:color w:val="0B0C0C"/>
          <w:sz w:val="20"/>
          <w:lang w:eastAsia="en-GB"/>
        </w:rPr>
        <w:t>overnment funding is intended to deliver 15 or 30 hours a week of free, high quality, flexible childcare. The 15 or 30 hours must be able to be accessed free of charge to parents. There must not be any mandatory charges for parents in relation to the free hours. Government funding is not intended to cover the costs of meals, other consumables, additional hours or additional services.’’</w:t>
      </w:r>
    </w:p>
    <w:p>
      <w:pPr>
        <w:spacing w:after="138" w:line="268" w:lineRule="auto"/>
        <w:ind w:left="10" w:hanging="10"/>
        <w:rPr>
          <w:rFonts w:ascii="Calibri" w:eastAsia="Calibri" w:hAnsi="Calibri" w:cs="Calibri"/>
          <w:color w:val="000000"/>
          <w:sz w:val="32"/>
          <w:szCs w:val="32"/>
          <w:lang w:eastAsia="en-GB"/>
        </w:rPr>
      </w:pPr>
      <w:r>
        <w:rPr>
          <w:rFonts w:ascii="Calibri" w:eastAsia="Calibri" w:hAnsi="Calibri" w:cs="Calibri"/>
          <w:color w:val="000000"/>
          <w:sz w:val="32"/>
          <w:szCs w:val="32"/>
          <w:lang w:eastAsia="en-GB"/>
        </w:rPr>
        <w:t xml:space="preserve">St Clare’s Nursery does not currently charge for any voluntary chargeable extras. We do, however, ask parent/carers to provide nappies, wipes, sun cream and a healthy packed lunch. We provide </w:t>
      </w:r>
      <w:r>
        <w:rPr>
          <w:rFonts w:ascii="Calibri" w:eastAsia="Calibri" w:hAnsi="Calibri" w:cs="Calibri"/>
          <w:color w:val="000000"/>
          <w:sz w:val="32"/>
          <w:szCs w:val="32"/>
          <w:lang w:eastAsia="en-GB"/>
        </w:rPr>
        <w:lastRenderedPageBreak/>
        <w:t>free snacks including, cereals, breadsticks, toast, fruit, vegetables etc. including milk and water. Juice is not permitted.</w:t>
      </w:r>
    </w:p>
    <w:p>
      <w:pPr>
        <w:spacing w:after="138" w:line="268" w:lineRule="auto"/>
        <w:ind w:left="10" w:hanging="10"/>
        <w:rPr>
          <w:rFonts w:ascii="Calibri" w:eastAsia="Calibri" w:hAnsi="Calibri" w:cs="Calibri"/>
          <w:color w:val="000000"/>
          <w:sz w:val="32"/>
          <w:szCs w:val="32"/>
          <w:lang w:eastAsia="en-GB"/>
        </w:rPr>
      </w:pPr>
      <w:r>
        <w:rPr>
          <w:rFonts w:ascii="Calibri" w:eastAsia="Calibri" w:hAnsi="Calibri" w:cs="Calibri"/>
          <w:color w:val="000000"/>
          <w:sz w:val="32"/>
          <w:szCs w:val="32"/>
          <w:lang w:eastAsia="en-GB"/>
        </w:rPr>
        <w:t>INVOICING:</w:t>
      </w:r>
    </w:p>
    <w:p>
      <w:pPr>
        <w:spacing w:after="138" w:line="268" w:lineRule="auto"/>
        <w:ind w:left="10" w:hanging="10"/>
        <w:rPr>
          <w:rFonts w:ascii="Calibri" w:eastAsia="Calibri" w:hAnsi="Calibri" w:cs="Calibri"/>
          <w:color w:val="000000"/>
          <w:sz w:val="32"/>
          <w:szCs w:val="32"/>
          <w:lang w:eastAsia="en-GB"/>
        </w:rPr>
      </w:pPr>
      <w:r>
        <w:rPr>
          <w:rFonts w:ascii="Calibri" w:eastAsia="Calibri" w:hAnsi="Calibri" w:cs="Calibri"/>
          <w:color w:val="000000"/>
          <w:sz w:val="32"/>
          <w:szCs w:val="32"/>
          <w:lang w:eastAsia="en-GB"/>
        </w:rPr>
        <w:t>No deposits or registration fees will be required at St Clare’s Nursery.</w:t>
      </w:r>
    </w:p>
    <w:p>
      <w:pPr>
        <w:spacing w:after="138" w:line="268" w:lineRule="auto"/>
        <w:ind w:left="10" w:hanging="10"/>
        <w:rPr>
          <w:rFonts w:ascii="Calibri" w:eastAsia="Calibri" w:hAnsi="Calibri" w:cs="Calibri"/>
          <w:color w:val="000000"/>
          <w:sz w:val="32"/>
          <w:szCs w:val="32"/>
          <w:lang w:eastAsia="en-GB"/>
        </w:rPr>
      </w:pPr>
      <w:r>
        <w:rPr>
          <w:rFonts w:ascii="Calibri" w:eastAsia="Calibri" w:hAnsi="Calibri" w:cs="Calibri"/>
          <w:color w:val="000000"/>
          <w:sz w:val="32"/>
          <w:szCs w:val="32"/>
          <w:lang w:eastAsia="en-GB"/>
        </w:rPr>
        <w:t>When your child starts the nursery, you will be issued with an invoice and a login to our SCOPAY system.</w:t>
      </w:r>
    </w:p>
    <w:p>
      <w:pPr>
        <w:spacing w:after="138" w:line="268" w:lineRule="auto"/>
        <w:ind w:left="10" w:hanging="10"/>
        <w:rPr>
          <w:rFonts w:ascii="Calibri" w:eastAsia="Calibri" w:hAnsi="Calibri" w:cs="Calibri"/>
          <w:color w:val="000000"/>
          <w:sz w:val="32"/>
          <w:szCs w:val="32"/>
          <w:lang w:eastAsia="en-GB"/>
        </w:rPr>
      </w:pPr>
      <w:r>
        <w:rPr>
          <w:rFonts w:ascii="Calibri" w:eastAsia="Calibri" w:hAnsi="Calibri" w:cs="Calibri"/>
          <w:color w:val="000000"/>
          <w:sz w:val="32"/>
          <w:szCs w:val="32"/>
          <w:lang w:eastAsia="en-GB"/>
        </w:rPr>
        <w:t>The invoices will be issued termly and will include:</w:t>
      </w:r>
    </w:p>
    <w:p>
      <w:pPr>
        <w:spacing w:after="138" w:line="268" w:lineRule="auto"/>
        <w:ind w:left="10" w:hanging="10"/>
        <w:rPr>
          <w:rFonts w:ascii="Calibri" w:eastAsia="Calibri" w:hAnsi="Calibri" w:cs="Calibri"/>
          <w:color w:val="000000"/>
          <w:sz w:val="32"/>
          <w:szCs w:val="32"/>
          <w:lang w:eastAsia="en-GB"/>
        </w:rPr>
      </w:pPr>
      <w:r>
        <w:rPr>
          <w:rFonts w:ascii="Calibri" w:eastAsia="Calibri" w:hAnsi="Calibri" w:cs="Calibri"/>
          <w:color w:val="000000"/>
          <w:sz w:val="32"/>
          <w:szCs w:val="32"/>
          <w:lang w:eastAsia="en-GB"/>
        </w:rPr>
        <w:t>Setting details.</w:t>
      </w:r>
    </w:p>
    <w:p>
      <w:pPr>
        <w:spacing w:after="138" w:line="268" w:lineRule="auto"/>
        <w:ind w:left="10" w:hanging="10"/>
        <w:rPr>
          <w:rFonts w:ascii="Calibri" w:eastAsia="Calibri" w:hAnsi="Calibri" w:cs="Calibri"/>
          <w:color w:val="000000"/>
          <w:sz w:val="32"/>
          <w:szCs w:val="32"/>
          <w:lang w:eastAsia="en-GB"/>
        </w:rPr>
      </w:pPr>
      <w:r>
        <w:rPr>
          <w:rFonts w:ascii="Calibri" w:eastAsia="Calibri" w:hAnsi="Calibri" w:cs="Calibri"/>
          <w:color w:val="000000"/>
          <w:sz w:val="32"/>
          <w:szCs w:val="32"/>
          <w:lang w:eastAsia="en-GB"/>
        </w:rPr>
        <w:t>Date of issue/term.</w:t>
      </w:r>
    </w:p>
    <w:p>
      <w:pPr>
        <w:spacing w:after="138" w:line="268" w:lineRule="auto"/>
        <w:ind w:left="10" w:hanging="10"/>
        <w:rPr>
          <w:rFonts w:ascii="Calibri" w:eastAsia="Calibri" w:hAnsi="Calibri" w:cs="Calibri"/>
          <w:color w:val="000000"/>
          <w:sz w:val="32"/>
          <w:szCs w:val="32"/>
          <w:lang w:eastAsia="en-GB"/>
        </w:rPr>
      </w:pPr>
      <w:r>
        <w:rPr>
          <w:rFonts w:ascii="Calibri" w:eastAsia="Calibri" w:hAnsi="Calibri" w:cs="Calibri"/>
          <w:color w:val="000000"/>
          <w:sz w:val="32"/>
          <w:szCs w:val="32"/>
          <w:lang w:eastAsia="en-GB"/>
        </w:rPr>
        <w:t>Child’s session times.</w:t>
      </w:r>
    </w:p>
    <w:p>
      <w:pPr>
        <w:spacing w:after="138" w:line="268" w:lineRule="auto"/>
        <w:ind w:left="10" w:hanging="10"/>
        <w:rPr>
          <w:rFonts w:ascii="Calibri" w:eastAsia="Calibri" w:hAnsi="Calibri" w:cs="Calibri"/>
          <w:color w:val="000000"/>
          <w:sz w:val="32"/>
          <w:szCs w:val="32"/>
          <w:lang w:eastAsia="en-GB"/>
        </w:rPr>
      </w:pPr>
      <w:r>
        <w:rPr>
          <w:rFonts w:ascii="Calibri" w:eastAsia="Calibri" w:hAnsi="Calibri" w:cs="Calibri"/>
          <w:color w:val="000000"/>
          <w:sz w:val="32"/>
          <w:szCs w:val="32"/>
          <w:lang w:eastAsia="en-GB"/>
        </w:rPr>
        <w:t>Funded hours available for the term.</w:t>
      </w:r>
    </w:p>
    <w:p>
      <w:pPr>
        <w:spacing w:after="138" w:line="268" w:lineRule="auto"/>
        <w:ind w:left="10" w:hanging="10"/>
        <w:rPr>
          <w:rFonts w:ascii="Calibri" w:eastAsia="Calibri" w:hAnsi="Calibri" w:cs="Calibri"/>
          <w:color w:val="000000"/>
          <w:sz w:val="32"/>
          <w:szCs w:val="32"/>
          <w:lang w:eastAsia="en-GB"/>
        </w:rPr>
      </w:pPr>
      <w:r>
        <w:rPr>
          <w:rFonts w:ascii="Calibri" w:eastAsia="Calibri" w:hAnsi="Calibri" w:cs="Calibri"/>
          <w:color w:val="000000"/>
          <w:sz w:val="32"/>
          <w:szCs w:val="32"/>
          <w:lang w:eastAsia="en-GB"/>
        </w:rPr>
        <w:t>Actual hours your child attends.</w:t>
      </w:r>
    </w:p>
    <w:p>
      <w:pPr>
        <w:spacing w:after="138" w:line="268" w:lineRule="auto"/>
        <w:ind w:left="10" w:hanging="10"/>
        <w:rPr>
          <w:rFonts w:ascii="Calibri" w:eastAsia="Calibri" w:hAnsi="Calibri" w:cs="Calibri"/>
          <w:color w:val="000000"/>
          <w:sz w:val="32"/>
          <w:szCs w:val="32"/>
          <w:lang w:eastAsia="en-GB"/>
        </w:rPr>
      </w:pPr>
      <w:r>
        <w:rPr>
          <w:rFonts w:ascii="Calibri" w:eastAsia="Calibri" w:hAnsi="Calibri" w:cs="Calibri"/>
          <w:color w:val="000000"/>
          <w:sz w:val="32"/>
          <w:szCs w:val="32"/>
          <w:lang w:eastAsia="en-GB"/>
        </w:rPr>
        <w:t>Remaining hours to pay if any.</w:t>
      </w:r>
    </w:p>
    <w:p>
      <w:pPr>
        <w:spacing w:after="138" w:line="268" w:lineRule="auto"/>
        <w:ind w:left="10" w:hanging="10"/>
        <w:rPr>
          <w:rFonts w:ascii="Calibri" w:eastAsia="Calibri" w:hAnsi="Calibri" w:cs="Calibri"/>
          <w:color w:val="000000"/>
          <w:sz w:val="32"/>
          <w:szCs w:val="32"/>
          <w:lang w:eastAsia="en-GB"/>
        </w:rPr>
      </w:pPr>
      <w:r>
        <w:rPr>
          <w:rFonts w:ascii="Calibri" w:eastAsia="Calibri" w:hAnsi="Calibri" w:cs="Calibri"/>
          <w:color w:val="000000"/>
          <w:sz w:val="32"/>
          <w:szCs w:val="32"/>
          <w:lang w:eastAsia="en-GB"/>
        </w:rPr>
        <w:t>A breakdown of the payments due on the 1</w:t>
      </w:r>
      <w:r>
        <w:rPr>
          <w:rFonts w:ascii="Calibri" w:eastAsia="Calibri" w:hAnsi="Calibri" w:cs="Calibri"/>
          <w:color w:val="000000"/>
          <w:sz w:val="32"/>
          <w:szCs w:val="32"/>
          <w:vertAlign w:val="superscript"/>
          <w:lang w:eastAsia="en-GB"/>
        </w:rPr>
        <w:t>st</w:t>
      </w:r>
      <w:r>
        <w:rPr>
          <w:rFonts w:ascii="Calibri" w:eastAsia="Calibri" w:hAnsi="Calibri" w:cs="Calibri"/>
          <w:color w:val="000000"/>
          <w:sz w:val="32"/>
          <w:szCs w:val="32"/>
          <w:lang w:eastAsia="en-GB"/>
        </w:rPr>
        <w:t xml:space="preserve"> of every month.</w:t>
      </w:r>
      <w:r>
        <w:rPr>
          <w:rFonts w:ascii="Calibri" w:eastAsia="Calibri" w:hAnsi="Calibri" w:cs="Calibri"/>
          <w:color w:val="000000"/>
          <w:sz w:val="32"/>
          <w:szCs w:val="32"/>
          <w:lang w:eastAsia="en-GB"/>
        </w:rPr>
        <w:br/>
        <w:t>(Please note the number of months may differ in a term).</w:t>
      </w:r>
    </w:p>
    <w:p>
      <w:pPr>
        <w:spacing w:after="138" w:line="268" w:lineRule="auto"/>
        <w:ind w:left="10" w:hanging="10"/>
        <w:rPr>
          <w:rFonts w:ascii="Calibri" w:eastAsia="Calibri" w:hAnsi="Calibri" w:cs="Calibri"/>
          <w:color w:val="000000"/>
          <w:sz w:val="32"/>
          <w:szCs w:val="32"/>
          <w:lang w:eastAsia="en-GB"/>
        </w:rPr>
      </w:pPr>
      <w:r>
        <w:rPr>
          <w:rFonts w:ascii="Calibri" w:eastAsia="Calibri" w:hAnsi="Calibri" w:cs="Calibri"/>
          <w:color w:val="000000"/>
          <w:sz w:val="32"/>
          <w:szCs w:val="32"/>
          <w:lang w:eastAsia="en-GB"/>
        </w:rPr>
        <w:t>ADDITIONAL FUNDING STREAMS AVAILABLE:</w:t>
      </w:r>
    </w:p>
    <w:p>
      <w:pPr>
        <w:keepNext/>
        <w:keepLines/>
        <w:spacing w:after="8" w:line="254" w:lineRule="auto"/>
        <w:ind w:left="355" w:hanging="10"/>
        <w:jc w:val="both"/>
        <w:outlineLvl w:val="0"/>
        <w:rPr>
          <w:rFonts w:ascii="Calibri" w:eastAsia="Calibri" w:hAnsi="Calibri" w:cs="Calibri"/>
          <w:b/>
          <w:color w:val="000000"/>
          <w:lang w:eastAsia="en-GB"/>
        </w:rPr>
      </w:pPr>
      <w:r>
        <w:rPr>
          <w:rFonts w:ascii="Calibri" w:eastAsia="Calibri" w:hAnsi="Calibri" w:cs="Calibri"/>
          <w:b/>
          <w:color w:val="000000"/>
          <w:lang w:eastAsia="en-GB"/>
        </w:rPr>
        <w:t>Early Years Pupil Premium (EYPP)</w:t>
      </w:r>
      <w:r>
        <w:rPr>
          <w:rFonts w:ascii="Calibri" w:eastAsia="Calibri" w:hAnsi="Calibri" w:cs="Calibri"/>
          <w:color w:val="000000"/>
          <w:lang w:eastAsia="en-GB"/>
        </w:rPr>
        <w:t xml:space="preserve">  </w:t>
      </w:r>
    </w:p>
    <w:p>
      <w:pPr>
        <w:spacing w:after="11" w:line="250" w:lineRule="auto"/>
        <w:ind w:left="370" w:hanging="10"/>
        <w:jc w:val="both"/>
        <w:rPr>
          <w:rFonts w:ascii="Calibri" w:eastAsia="Calibri" w:hAnsi="Calibri" w:cs="Calibri"/>
          <w:color w:val="000000"/>
          <w:lang w:eastAsia="en-GB"/>
        </w:rPr>
      </w:pPr>
      <w:r>
        <w:rPr>
          <w:rFonts w:ascii="Calibri" w:eastAsia="Calibri" w:hAnsi="Calibri" w:cs="Calibri"/>
          <w:color w:val="000000"/>
          <w:lang w:eastAsia="en-GB"/>
        </w:rPr>
        <w:t xml:space="preserve">EYPP is additional funding for early years settings to improve the provision for eligible children. This means that for low-income families, providers are entitled to receive additional funding for all children accessing up to 15 hours funded entitlement for FEEE1W, FEEE2W, FEEE2 and FEEE3&amp;4 universal.  </w:t>
      </w:r>
    </w:p>
    <w:p>
      <w:pPr>
        <w:spacing w:after="0"/>
        <w:ind w:left="360"/>
        <w:rPr>
          <w:rFonts w:ascii="Calibri" w:eastAsia="Calibri" w:hAnsi="Calibri" w:cs="Calibri"/>
          <w:color w:val="000000"/>
          <w:lang w:eastAsia="en-GB"/>
        </w:rPr>
      </w:pPr>
      <w:r>
        <w:rPr>
          <w:rFonts w:ascii="Calibri" w:eastAsia="Calibri" w:hAnsi="Calibri" w:cs="Calibri"/>
          <w:b/>
          <w:color w:val="000000"/>
          <w:lang w:eastAsia="en-GB"/>
        </w:rPr>
        <w:t xml:space="preserve"> </w:t>
      </w:r>
    </w:p>
    <w:p>
      <w:pPr>
        <w:keepNext/>
        <w:keepLines/>
        <w:spacing w:after="8" w:line="254" w:lineRule="auto"/>
        <w:ind w:left="355" w:hanging="10"/>
        <w:jc w:val="both"/>
        <w:outlineLvl w:val="0"/>
        <w:rPr>
          <w:rFonts w:ascii="Calibri" w:eastAsia="Calibri" w:hAnsi="Calibri" w:cs="Calibri"/>
          <w:b/>
          <w:color w:val="000000"/>
          <w:lang w:eastAsia="en-GB"/>
        </w:rPr>
      </w:pPr>
      <w:r>
        <w:rPr>
          <w:rFonts w:ascii="Calibri" w:eastAsia="Calibri" w:hAnsi="Calibri" w:cs="Calibri"/>
          <w:b/>
          <w:color w:val="000000"/>
          <w:lang w:eastAsia="en-GB"/>
        </w:rPr>
        <w:t xml:space="preserve">Disability Access Fund (DAF) </w:t>
      </w:r>
    </w:p>
    <w:p>
      <w:pPr>
        <w:spacing w:after="11" w:line="250" w:lineRule="auto"/>
        <w:ind w:left="370" w:hanging="10"/>
        <w:jc w:val="both"/>
        <w:rPr>
          <w:rFonts w:ascii="Calibri" w:eastAsia="Calibri" w:hAnsi="Calibri" w:cs="Calibri"/>
          <w:color w:val="000000"/>
          <w:lang w:eastAsia="en-GB"/>
        </w:rPr>
      </w:pPr>
      <w:r>
        <w:rPr>
          <w:rFonts w:ascii="Calibri" w:eastAsia="Calibri" w:hAnsi="Calibri" w:cs="Calibri"/>
          <w:color w:val="000000"/>
          <w:lang w:eastAsia="en-GB"/>
        </w:rPr>
        <w:t xml:space="preserve">The DAF is payable as a lump sum once a year per eligible child for all the entitlements. To be eligible a child must be in receipt of Disability Living Allowance. DAF can only be claimed by one provider per year.  </w:t>
      </w:r>
    </w:p>
    <w:p>
      <w:pPr>
        <w:spacing w:after="0"/>
        <w:ind w:left="360"/>
        <w:rPr>
          <w:rFonts w:ascii="Calibri" w:eastAsia="Calibri" w:hAnsi="Calibri" w:cs="Calibri"/>
          <w:color w:val="000000"/>
          <w:lang w:eastAsia="en-GB"/>
        </w:rPr>
      </w:pPr>
      <w:r>
        <w:rPr>
          <w:rFonts w:ascii="Calibri" w:eastAsia="Calibri" w:hAnsi="Calibri" w:cs="Calibri"/>
          <w:color w:val="FF0000"/>
          <w:lang w:eastAsia="en-GB"/>
        </w:rPr>
        <w:t xml:space="preserve"> </w:t>
      </w:r>
    </w:p>
    <w:p>
      <w:pPr>
        <w:keepNext/>
        <w:keepLines/>
        <w:spacing w:after="8" w:line="254" w:lineRule="auto"/>
        <w:ind w:left="355" w:hanging="10"/>
        <w:jc w:val="both"/>
        <w:outlineLvl w:val="0"/>
        <w:rPr>
          <w:rFonts w:ascii="Calibri" w:eastAsia="Calibri" w:hAnsi="Calibri" w:cs="Calibri"/>
          <w:b/>
          <w:color w:val="000000"/>
          <w:lang w:eastAsia="en-GB"/>
        </w:rPr>
      </w:pPr>
      <w:r>
        <w:rPr>
          <w:rFonts w:ascii="Calibri" w:eastAsia="Calibri" w:hAnsi="Calibri" w:cs="Calibri"/>
          <w:b/>
          <w:color w:val="000000"/>
          <w:lang w:eastAsia="en-GB"/>
        </w:rPr>
        <w:t xml:space="preserve">Special Educational Needs Inclusion Funding (SENIF)  </w:t>
      </w:r>
    </w:p>
    <w:p>
      <w:pPr>
        <w:spacing w:after="11" w:line="250" w:lineRule="auto"/>
        <w:ind w:left="370" w:hanging="10"/>
        <w:jc w:val="both"/>
        <w:rPr>
          <w:rFonts w:ascii="Calibri" w:eastAsia="Calibri" w:hAnsi="Calibri" w:cs="Calibri"/>
          <w:color w:val="000000"/>
          <w:lang w:eastAsia="en-GB"/>
        </w:rPr>
      </w:pPr>
      <w:r>
        <w:rPr>
          <w:rFonts w:ascii="Calibri" w:eastAsia="Calibri" w:hAnsi="Calibri" w:cs="Calibri"/>
          <w:color w:val="000000"/>
          <w:lang w:eastAsia="en-GB"/>
        </w:rPr>
        <w:t xml:space="preserve">Providers can apply for SENIF for children with Special Educational Needs and Disabilities if they need additional support to include children in activities.  SENIF, if agreed, is paid for FEEE hours attended. </w:t>
      </w:r>
    </w:p>
    <w:p>
      <w:pPr>
        <w:spacing w:after="0"/>
        <w:ind w:left="360"/>
        <w:rPr>
          <w:rFonts w:ascii="Calibri" w:eastAsia="Calibri" w:hAnsi="Calibri" w:cs="Calibri"/>
          <w:color w:val="000000"/>
          <w:lang w:eastAsia="en-GB"/>
        </w:rPr>
      </w:pPr>
      <w:r>
        <w:rPr>
          <w:rFonts w:ascii="Calibri" w:eastAsia="Calibri" w:hAnsi="Calibri" w:cs="Calibri"/>
          <w:color w:val="000000"/>
          <w:lang w:eastAsia="en-GB"/>
        </w:rPr>
        <w:t xml:space="preserve"> </w:t>
      </w:r>
    </w:p>
    <w:p>
      <w:pPr>
        <w:keepNext/>
        <w:keepLines/>
        <w:spacing w:after="8" w:line="254" w:lineRule="auto"/>
        <w:ind w:left="355" w:hanging="10"/>
        <w:jc w:val="both"/>
        <w:outlineLvl w:val="0"/>
        <w:rPr>
          <w:rFonts w:ascii="Calibri" w:eastAsia="Calibri" w:hAnsi="Calibri" w:cs="Calibri"/>
          <w:b/>
          <w:color w:val="000000"/>
          <w:lang w:eastAsia="en-GB"/>
        </w:rPr>
      </w:pPr>
      <w:r>
        <w:rPr>
          <w:rFonts w:ascii="Calibri" w:eastAsia="Calibri" w:hAnsi="Calibri" w:cs="Calibri"/>
          <w:b/>
          <w:color w:val="000000"/>
          <w:lang w:eastAsia="en-GB"/>
        </w:rPr>
        <w:lastRenderedPageBreak/>
        <w:t xml:space="preserve">Income Deprivation Affecting Children Index (IDACI) </w:t>
      </w:r>
    </w:p>
    <w:p>
      <w:pPr>
        <w:spacing w:after="11" w:line="250" w:lineRule="auto"/>
        <w:ind w:left="370" w:hanging="10"/>
        <w:jc w:val="both"/>
        <w:rPr>
          <w:rFonts w:ascii="Calibri" w:eastAsia="Calibri" w:hAnsi="Calibri" w:cs="Calibri"/>
          <w:color w:val="000000"/>
          <w:lang w:eastAsia="en-GB"/>
        </w:rPr>
      </w:pPr>
      <w:r>
        <w:rPr>
          <w:rFonts w:ascii="Calibri" w:eastAsia="Calibri" w:hAnsi="Calibri" w:cs="Calibri"/>
          <w:color w:val="000000"/>
          <w:lang w:eastAsia="en-GB"/>
        </w:rPr>
        <w:t xml:space="preserve">The deprivation supplement is paid per hour for FEEE3&amp;4 universal and extended hours only and is paid directly to the provider. This funding is added automatically for children who live in an eligible postcode where providers are claiming FEEE3&amp;4. </w:t>
      </w:r>
    </w:p>
    <w:p>
      <w:pPr>
        <w:spacing w:after="2"/>
        <w:ind w:left="360"/>
        <w:rPr>
          <w:rFonts w:ascii="Calibri" w:eastAsia="Calibri" w:hAnsi="Calibri" w:cs="Calibri"/>
          <w:color w:val="000000"/>
          <w:lang w:eastAsia="en-GB"/>
        </w:rPr>
      </w:pPr>
      <w:r>
        <w:rPr>
          <w:rFonts w:ascii="Calibri" w:eastAsia="Calibri" w:hAnsi="Calibri" w:cs="Calibri"/>
          <w:color w:val="FF0000"/>
          <w:lang w:eastAsia="en-GB"/>
        </w:rPr>
        <w:t xml:space="preserve"> </w:t>
      </w:r>
    </w:p>
    <w:p>
      <w:pPr>
        <w:keepNext/>
        <w:keepLines/>
        <w:spacing w:after="8" w:line="254" w:lineRule="auto"/>
        <w:ind w:left="355" w:hanging="10"/>
        <w:jc w:val="both"/>
        <w:outlineLvl w:val="0"/>
        <w:rPr>
          <w:rFonts w:ascii="Calibri" w:eastAsia="Calibri" w:hAnsi="Calibri" w:cs="Calibri"/>
          <w:b/>
          <w:color w:val="000000"/>
          <w:lang w:eastAsia="en-GB"/>
        </w:rPr>
      </w:pPr>
      <w:r>
        <w:rPr>
          <w:rFonts w:ascii="Calibri" w:eastAsia="Calibri" w:hAnsi="Calibri" w:cs="Calibri"/>
          <w:b/>
          <w:color w:val="000000"/>
          <w:lang w:eastAsia="en-GB"/>
        </w:rPr>
        <w:t xml:space="preserve">Tax Free Childcare </w:t>
      </w:r>
    </w:p>
    <w:p>
      <w:pPr>
        <w:spacing w:after="11" w:line="250" w:lineRule="auto"/>
        <w:ind w:left="370" w:hanging="10"/>
        <w:jc w:val="both"/>
        <w:rPr>
          <w:rFonts w:ascii="Calibri" w:eastAsia="Calibri" w:hAnsi="Calibri" w:cs="Calibri"/>
          <w:color w:val="000000"/>
          <w:lang w:eastAsia="en-GB"/>
        </w:rPr>
      </w:pPr>
      <w:r>
        <w:rPr>
          <w:rFonts w:ascii="Calibri" w:eastAsia="Calibri" w:hAnsi="Calibri" w:cs="Calibri"/>
          <w:color w:val="000000"/>
          <w:lang w:eastAsia="en-GB"/>
        </w:rPr>
        <w:t xml:space="preserve">Parents will need to check to see if they are eligible for Tax Free Childcare. To check for eligibility and to apply, go to </w:t>
      </w:r>
      <w:hyperlink r:id="rId22">
        <w:r>
          <w:rPr>
            <w:rFonts w:ascii="Calibri" w:eastAsia="Calibri" w:hAnsi="Calibri" w:cs="Calibri"/>
            <w:color w:val="0000FF"/>
            <w:u w:val="single" w:color="0000FF"/>
            <w:lang w:eastAsia="en-GB"/>
          </w:rPr>
          <w:t>Tax</w:t>
        </w:r>
      </w:hyperlink>
      <w:hyperlink r:id="rId23">
        <w:r>
          <w:rPr>
            <w:rFonts w:ascii="Calibri" w:eastAsia="Calibri" w:hAnsi="Calibri" w:cs="Calibri"/>
            <w:color w:val="0000FF"/>
            <w:u w:val="single" w:color="0000FF"/>
            <w:lang w:eastAsia="en-GB"/>
          </w:rPr>
          <w:t>-</w:t>
        </w:r>
      </w:hyperlink>
      <w:hyperlink r:id="rId24">
        <w:r>
          <w:rPr>
            <w:rFonts w:ascii="Calibri" w:eastAsia="Calibri" w:hAnsi="Calibri" w:cs="Calibri"/>
            <w:color w:val="0000FF"/>
            <w:u w:val="single" w:color="0000FF"/>
            <w:lang w:eastAsia="en-GB"/>
          </w:rPr>
          <w:t xml:space="preserve">Free Childcare </w:t>
        </w:r>
      </w:hyperlink>
      <w:hyperlink r:id="rId25">
        <w:r>
          <w:rPr>
            <w:rFonts w:ascii="Calibri" w:eastAsia="Calibri" w:hAnsi="Calibri" w:cs="Calibri"/>
            <w:color w:val="0000FF"/>
            <w:u w:val="single" w:color="0000FF"/>
            <w:lang w:eastAsia="en-GB"/>
          </w:rPr>
          <w:t xml:space="preserve">- </w:t>
        </w:r>
      </w:hyperlink>
      <w:hyperlink r:id="rId26">
        <w:r>
          <w:rPr>
            <w:rFonts w:ascii="Calibri" w:eastAsia="Calibri" w:hAnsi="Calibri" w:cs="Calibri"/>
            <w:color w:val="0000FF"/>
            <w:u w:val="single" w:color="0000FF"/>
            <w:lang w:eastAsia="en-GB"/>
          </w:rPr>
          <w:t>GOV.UK</w:t>
        </w:r>
      </w:hyperlink>
      <w:hyperlink r:id="rId27">
        <w:r>
          <w:rPr>
            <w:rFonts w:ascii="Calibri" w:eastAsia="Calibri" w:hAnsi="Calibri" w:cs="Calibri"/>
            <w:color w:val="000000"/>
            <w:lang w:eastAsia="en-GB"/>
          </w:rPr>
          <w:t xml:space="preserve"> </w:t>
        </w:r>
      </w:hyperlink>
    </w:p>
    <w:p>
      <w:pPr>
        <w:spacing w:after="2"/>
        <w:ind w:left="360"/>
        <w:rPr>
          <w:rFonts w:ascii="Calibri" w:eastAsia="Calibri" w:hAnsi="Calibri" w:cs="Calibri"/>
          <w:color w:val="000000"/>
          <w:lang w:eastAsia="en-GB"/>
        </w:rPr>
      </w:pPr>
    </w:p>
    <w:p>
      <w:pPr>
        <w:spacing w:after="138" w:line="268" w:lineRule="auto"/>
        <w:ind w:left="10" w:hanging="10"/>
        <w:rPr>
          <w:rFonts w:ascii="Calibri" w:eastAsia="Calibri" w:hAnsi="Calibri" w:cs="Calibri"/>
          <w:color w:val="000000"/>
          <w:sz w:val="32"/>
          <w:szCs w:val="32"/>
          <w:lang w:eastAsia="en-GB"/>
        </w:rPr>
      </w:pPr>
    </w:p>
    <w:p>
      <w:pPr>
        <w:spacing w:after="138" w:line="268" w:lineRule="auto"/>
        <w:ind w:left="10" w:hanging="10"/>
        <w:rPr>
          <w:rFonts w:ascii="Calibri" w:eastAsia="Calibri" w:hAnsi="Calibri" w:cs="Calibri"/>
          <w:color w:val="000000"/>
          <w:sz w:val="32"/>
          <w:szCs w:val="32"/>
          <w:lang w:eastAsia="en-GB"/>
        </w:rPr>
      </w:pPr>
    </w:p>
    <w:p>
      <w:pPr>
        <w:spacing w:after="138" w:line="268" w:lineRule="auto"/>
        <w:ind w:left="10" w:hanging="10"/>
        <w:rPr>
          <w:rFonts w:ascii="Calibri" w:eastAsia="Calibri" w:hAnsi="Calibri" w:cs="Calibri"/>
          <w:color w:val="000000"/>
          <w:sz w:val="32"/>
          <w:szCs w:val="32"/>
          <w:lang w:eastAsia="en-GB"/>
        </w:rPr>
      </w:pPr>
    </w:p>
    <w:p>
      <w:pPr>
        <w:spacing w:after="138" w:line="268" w:lineRule="auto"/>
        <w:jc w:val="both"/>
        <w:rPr>
          <w:rFonts w:ascii="Calibri" w:eastAsia="Calibri" w:hAnsi="Calibri" w:cs="Calibri"/>
          <w:color w:val="000000"/>
          <w:sz w:val="32"/>
          <w:szCs w:val="32"/>
          <w:lang w:eastAsia="en-GB"/>
        </w:rPr>
      </w:pPr>
    </w:p>
    <w:p>
      <w:pPr>
        <w:spacing w:after="138" w:line="268" w:lineRule="auto"/>
        <w:ind w:left="1075" w:hanging="10"/>
        <w:rPr>
          <w:rFonts w:ascii="Calibri" w:eastAsia="Calibri" w:hAnsi="Calibri" w:cs="Calibri"/>
          <w:color w:val="000000"/>
          <w:lang w:eastAsia="en-GB"/>
        </w:rPr>
      </w:pPr>
    </w:p>
    <w:p>
      <w:pPr>
        <w:spacing w:after="138" w:line="268" w:lineRule="auto"/>
        <w:ind w:left="1075" w:hanging="10"/>
        <w:rPr>
          <w:rFonts w:ascii="Calibri" w:eastAsia="Calibri" w:hAnsi="Calibri" w:cs="Calibri"/>
          <w:color w:val="000000"/>
          <w:lang w:eastAsia="en-GB"/>
        </w:rPr>
      </w:pPr>
    </w:p>
    <w:p>
      <w:pPr>
        <w:rPr>
          <w:sz w:val="32"/>
          <w:szCs w:val="32"/>
        </w:rPr>
      </w:pPr>
    </w:p>
    <w:p>
      <w:pPr>
        <w:rPr>
          <w:sz w:val="32"/>
          <w:szCs w:val="32"/>
        </w:rPr>
      </w:pPr>
    </w:p>
    <w:sectPr>
      <w:footerReference w:type="default" r:id="rId28"/>
      <w:pgSz w:w="11906" w:h="16838"/>
      <w:pgMar w:top="1440" w:right="1440" w:bottom="1440" w:left="1440" w:header="708" w:footer="708" w:gutter="0"/>
      <w:pgBorders w:display="firstPage" w:offsetFrom="page">
        <w:top w:val="single" w:sz="24" w:space="24" w:color="FF0000"/>
        <w:left w:val="single" w:sz="24" w:space="24" w:color="FF0000"/>
        <w:bottom w:val="single" w:sz="24" w:space="24" w:color="FF0000"/>
        <w:right w:val="single" w:sz="24" w:space="24" w:color="FF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Gill Sans MT">
    <w:panose1 w:val="020B0502020104020203"/>
    <w:charset w:val="00"/>
    <w:family w:val="swiss"/>
    <w:pitch w:val="variable"/>
    <w:sig w:usb0="00000007" w:usb1="00000000" w:usb2="00000000" w:usb3="00000000" w:csb0="00000003" w:csb1="00000000"/>
  </w:font>
  <w:font w:name="MS Gothic">
    <w:altName w:val="ＭＳ ゴシック"/>
    <w:panose1 w:val="020B0609070205080204"/>
    <w:charset w:val="80"/>
    <w:family w:val="modern"/>
    <w:pitch w:val="fixed"/>
    <w:sig w:usb0="E00002FF" w:usb1="6AC7FDFB" w:usb2="08000012" w:usb3="00000000" w:csb0="0002009F" w:csb1="00000000"/>
  </w:font>
  <w:font w:name="Cheltenhm BT">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61093701"/>
      <w:docPartObj>
        <w:docPartGallery w:val="Page Numbers (Bottom of Page)"/>
        <w:docPartUnique/>
      </w:docPartObj>
    </w:sdtPr>
    <w:sdtEndPr>
      <w:rPr>
        <w:color w:val="7F7F7F" w:themeColor="background1" w:themeShade="7F"/>
        <w:spacing w:val="60"/>
      </w:rPr>
    </w:sdtEndPr>
    <w:sdtContent>
      <w:p>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6</w:t>
        </w:r>
        <w:r>
          <w:rPr>
            <w:b/>
            <w:bCs/>
            <w:noProof/>
          </w:rPr>
          <w:fldChar w:fldCharType="end"/>
        </w:r>
        <w:r>
          <w:rPr>
            <w:b/>
            <w:bCs/>
          </w:rPr>
          <w:t xml:space="preserve"> | </w:t>
        </w:r>
        <w:r>
          <w:rPr>
            <w:color w:val="7F7F7F" w:themeColor="background1" w:themeShade="7F"/>
            <w:spacing w:val="60"/>
          </w:rPr>
          <w:t>Page</w:t>
        </w:r>
      </w:p>
    </w:sdtContent>
  </w:sdt>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pPr>
        <w:spacing w:after="0" w:line="240" w:lineRule="auto"/>
      </w:pPr>
      <w:r>
        <w:separator/>
      </w:r>
    </w:p>
  </w:footnote>
  <w:footnote w:type="continuationSeparator" w:id="0">
    <w:p>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2B75252"/>
    <w:multiLevelType w:val="hybridMultilevel"/>
    <w:tmpl w:val="D4EC0AD2"/>
    <w:lvl w:ilvl="0" w:tplc="9FC4887E">
      <w:start w:val="1"/>
      <w:numFmt w:val="bullet"/>
      <w:lvlText w:val="•"/>
      <w:lvlJc w:val="left"/>
      <w:pPr>
        <w:ind w:left="1065"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CFC2F85C">
      <w:start w:val="1"/>
      <w:numFmt w:val="bullet"/>
      <w:lvlText w:val="o"/>
      <w:lvlJc w:val="left"/>
      <w:pPr>
        <w:ind w:left="1786"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2" w:tplc="A7A4D662">
      <w:start w:val="1"/>
      <w:numFmt w:val="bullet"/>
      <w:lvlText w:val="▪"/>
      <w:lvlJc w:val="left"/>
      <w:pPr>
        <w:ind w:left="2506"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3" w:tplc="F876690A">
      <w:start w:val="1"/>
      <w:numFmt w:val="bullet"/>
      <w:lvlText w:val="•"/>
      <w:lvlJc w:val="left"/>
      <w:pPr>
        <w:ind w:left="3226"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FFDE974E">
      <w:start w:val="1"/>
      <w:numFmt w:val="bullet"/>
      <w:lvlText w:val="o"/>
      <w:lvlJc w:val="left"/>
      <w:pPr>
        <w:ind w:left="3946"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5" w:tplc="1F3C9312">
      <w:start w:val="1"/>
      <w:numFmt w:val="bullet"/>
      <w:lvlText w:val="▪"/>
      <w:lvlJc w:val="left"/>
      <w:pPr>
        <w:ind w:left="4666"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6" w:tplc="AA1C64DA">
      <w:start w:val="1"/>
      <w:numFmt w:val="bullet"/>
      <w:lvlText w:val="•"/>
      <w:lvlJc w:val="left"/>
      <w:pPr>
        <w:ind w:left="5386"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5D226A36">
      <w:start w:val="1"/>
      <w:numFmt w:val="bullet"/>
      <w:lvlText w:val="o"/>
      <w:lvlJc w:val="left"/>
      <w:pPr>
        <w:ind w:left="6106"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8" w:tplc="14D8E904">
      <w:start w:val="1"/>
      <w:numFmt w:val="bullet"/>
      <w:lvlText w:val="▪"/>
      <w:lvlJc w:val="left"/>
      <w:pPr>
        <w:ind w:left="6826"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564C008-6311-47EB-B1CD-F095C4C71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next w:val="Normal"/>
    <w:link w:val="Heading1Char"/>
    <w:uiPriority w:val="9"/>
    <w:qFormat/>
    <w:pPr>
      <w:keepNext/>
      <w:keepLines/>
      <w:spacing w:after="8" w:line="252" w:lineRule="auto"/>
      <w:ind w:left="706" w:right="228" w:hanging="10"/>
      <w:jc w:val="both"/>
      <w:outlineLvl w:val="0"/>
    </w:pPr>
    <w:rPr>
      <w:rFonts w:ascii="Calibri" w:eastAsia="Calibri" w:hAnsi="Calibri" w:cs="Calibri"/>
      <w:b/>
      <w:color w:val="00000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rPr>
      <w:rFonts w:eastAsiaTheme="minorEastAsia"/>
      <w:lang w:eastAsia="en-GB"/>
    </w:rPr>
    <w:tblPr>
      <w:tblCellMar>
        <w:top w:w="0" w:type="dxa"/>
        <w:left w:w="0" w:type="dxa"/>
        <w:bottom w:w="0" w:type="dxa"/>
        <w:right w:w="0" w:type="dxa"/>
      </w:tblCellMar>
    </w:tblPr>
  </w:style>
  <w:style w:type="character" w:customStyle="1" w:styleId="Heading1Char">
    <w:name w:val="Heading 1 Char"/>
    <w:basedOn w:val="DefaultParagraphFont"/>
    <w:link w:val="Heading1"/>
    <w:uiPriority w:val="9"/>
    <w:rPr>
      <w:rFonts w:ascii="Calibri" w:eastAsia="Calibri" w:hAnsi="Calibri" w:cs="Calibri"/>
      <w:b/>
      <w:color w:val="000000"/>
      <w:lang w:eastAsia="en-GB"/>
    </w:rPr>
  </w:style>
  <w:style w:type="character" w:styleId="Hyperlink">
    <w:name w:val="Hyperlink"/>
    <w:basedOn w:val="DefaultParagraphFont"/>
    <w:uiPriority w:val="99"/>
    <w:semiHidden/>
    <w:unhideWhenUsed/>
    <w:rPr>
      <w:color w:val="0000FF"/>
      <w:u w:val="single"/>
    </w:rPr>
  </w:style>
  <w:style w:type="paragraph" w:styleId="BalloonText">
    <w:name w:val="Balloon Text"/>
    <w:basedOn w:val="Normal"/>
    <w:link w:val="BalloonTextChar"/>
    <w:uiPriority w:val="99"/>
    <w:semiHidden/>
    <w:unhideWhenUsed/>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Pr>
      <w:rFonts w:ascii="Segoe UI" w:hAnsi="Segoe UI"/>
      <w:sz w:val="18"/>
      <w:szCs w:val="18"/>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20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eur03.safelinks.protection.outlook.com/?url=https%3A%2F%2Fwww.childcarechoices.gov.uk%2Fhow-to-apply-for-30-hours-free-childcare%2F&amp;data=05%7C01%7Cearlyyears%40buckinghamshire.gov.uk%7C9e5d335aca504d7291bd08da3eff69c1%7C7fb976b99e2848e180861ddabecf82a0%7C0%7C0%7C637891563947444437%7CUnknown%7CTWFpbGZsb3d8eyJWIjoiMC4wLjAwMDAiLCJQIjoiV2luMzIiLCJBTiI6Ik1haWwiLCJXVCI6Mn0%3D%7C3000%7C%7C%7C&amp;sdata=aSMZ3VUUh1XmoDOVvEn0y2uKOf4VHtTu39HNHBp4Vbk%3D&amp;reserved=0" TargetMode="External"/><Relationship Id="rId18" Type="http://schemas.openxmlformats.org/officeDocument/2006/relationships/hyperlink" Target="https://www.essex.gov.uk/children-young-people-and-families/early-years-and-childcare/help-childcare-costs/funded-1" TargetMode="External"/><Relationship Id="rId26" Type="http://schemas.openxmlformats.org/officeDocument/2006/relationships/hyperlink" Target="https://www.gov.uk/tax-free-childcare" TargetMode="External"/><Relationship Id="rId3" Type="http://schemas.openxmlformats.org/officeDocument/2006/relationships/settings" Target="settings.xml"/><Relationship Id="rId21" Type="http://schemas.openxmlformats.org/officeDocument/2006/relationships/hyperlink" Target="https://earlyyearsweb.buckinghamshire.gov.uk/9-months-to-4-years-old-funding/" TargetMode="External"/><Relationship Id="rId7" Type="http://schemas.openxmlformats.org/officeDocument/2006/relationships/image" Target="media/image1.png"/><Relationship Id="rId12" Type="http://schemas.openxmlformats.org/officeDocument/2006/relationships/hyperlink" Target="https://eur03.safelinks.protection.outlook.com/?url=https%3A%2F%2Fwww.childcarechoices.gov.uk%2Fhow-to-apply-for-30-hours-free-childcare%2F&amp;data=05%7C01%7Cearlyyears%40buckinghamshire.gov.uk%7C9e5d335aca504d7291bd08da3eff69c1%7C7fb976b99e2848e180861ddabecf82a0%7C0%7C0%7C637891563947444437%7CUnknown%7CTWFpbGZsb3d8eyJWIjoiMC4wLjAwMDAiLCJQIjoiV2luMzIiLCJBTiI6Ik1haWwiLCJXVCI6Mn0%3D%7C3000%7C%7C%7C&amp;sdata=aSMZ3VUUh1XmoDOVvEn0y2uKOf4VHtTu39HNHBp4Vbk%3D&amp;reserved=0" TargetMode="External"/><Relationship Id="rId17" Type="http://schemas.openxmlformats.org/officeDocument/2006/relationships/hyperlink" Target="https://www.essex.gov.uk/children-young-people-and-families/early-years-and-childcare/help-childcare-costs/funded-1" TargetMode="External"/><Relationship Id="rId25" Type="http://schemas.openxmlformats.org/officeDocument/2006/relationships/hyperlink" Target="https://www.gov.uk/tax-free-childcare" TargetMode="External"/><Relationship Id="rId2" Type="http://schemas.openxmlformats.org/officeDocument/2006/relationships/styles" Target="styles.xml"/><Relationship Id="rId16" Type="http://schemas.openxmlformats.org/officeDocument/2006/relationships/hyperlink" Target="https://www.essex.gov.uk/children-young-people-and-families/early-years-and-childcare/help-childcare-costs/funded-1" TargetMode="External"/><Relationship Id="rId20" Type="http://schemas.openxmlformats.org/officeDocument/2006/relationships/hyperlink" Target="https://earlyyearsweb.buckinghamshire.gov.uk/9-months-to-4-years-old-funding/"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eststartinlife.gov.uk/" TargetMode="External"/><Relationship Id="rId24" Type="http://schemas.openxmlformats.org/officeDocument/2006/relationships/hyperlink" Target="https://www.gov.uk/tax-free-childcare" TargetMode="External"/><Relationship Id="rId5" Type="http://schemas.openxmlformats.org/officeDocument/2006/relationships/footnotes" Target="footnotes.xml"/><Relationship Id="rId15" Type="http://schemas.openxmlformats.org/officeDocument/2006/relationships/hyperlink" Target="https://www.essex.gov.uk/children-young-people-and-families/early-years-and-childcare/help-childcare-costs/funded-1" TargetMode="External"/><Relationship Id="rId23" Type="http://schemas.openxmlformats.org/officeDocument/2006/relationships/hyperlink" Target="https://www.gov.uk/tax-free-childcare" TargetMode="External"/><Relationship Id="rId28" Type="http://schemas.openxmlformats.org/officeDocument/2006/relationships/footer" Target="footer1.xml"/><Relationship Id="rId10" Type="http://schemas.openxmlformats.org/officeDocument/2006/relationships/hyperlink" Target="https://www.beststartinlife.gov.uk/" TargetMode="External"/><Relationship Id="rId19" Type="http://schemas.openxmlformats.org/officeDocument/2006/relationships/hyperlink" Target="https://www.essex.gov.uk/children-young-people-and-families/early-years-and-childcare/help-childcare-costs/funded-1" TargetMode="Externa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hyperlink" Target="https://www.essex.gov.uk/children-young-people-and-families/early-years-and-childcare/help-childcare-costs/funded-1" TargetMode="External"/><Relationship Id="rId22" Type="http://schemas.openxmlformats.org/officeDocument/2006/relationships/hyperlink" Target="https://www.gov.uk/tax-free-childcare" TargetMode="External"/><Relationship Id="rId27" Type="http://schemas.openxmlformats.org/officeDocument/2006/relationships/hyperlink" Target="https://www.gov.uk/tax-free-childcare"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6</Pages>
  <Words>1250</Words>
  <Characters>7128</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St Clares Catholic Primary School</Company>
  <LinksUpToDate>false</LinksUpToDate>
  <CharactersWithSpaces>8362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Tracey Green</dc:creator>
  <cp:keywords/>
  <dc:description/>
  <cp:lastModifiedBy>Melanie</cp:lastModifiedBy>
  <cp:revision>3</cp:revision>
  <cp:lastPrinted>2025-10-23T09:15:00Z</cp:lastPrinted>
  <dcterms:created xsi:type="dcterms:W3CDTF">2025-10-23T15:21:00Z</dcterms:created>
  <dcterms:modified xsi:type="dcterms:W3CDTF">2025-10-24T10:49:00Z</dcterms:modified>
</cp:coreProperties>
</file>