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160" w:line="259" w:lineRule="auto"/>
        <w:ind w:left="0" w:firstLine="0"/>
        <w:rPr>
          <w:rFonts w:asciiTheme="minorHAnsi" w:eastAsiaTheme="minorHAnsi" w:hAnsiTheme="minorHAnsi" w:cstheme="minorBidi"/>
          <w:b/>
          <w:color w:val="auto"/>
          <w:sz w:val="32"/>
          <w:szCs w:val="32"/>
          <w:u w:val="single"/>
          <w:lang w:eastAsia="en-US"/>
        </w:rPr>
      </w:pPr>
    </w:p>
    <w:tbl>
      <w:tblPr>
        <w:tblW w:w="0" w:type="auto"/>
        <w:tblLook w:val="04A0" w:firstRow="1" w:lastRow="0" w:firstColumn="1" w:lastColumn="0" w:noHBand="0" w:noVBand="1"/>
      </w:tblPr>
      <w:tblGrid>
        <w:gridCol w:w="10769"/>
      </w:tblGrid>
      <w:tr>
        <w:tc>
          <w:tcPr>
            <w:tcW w:w="10425" w:type="dxa"/>
            <w:shd w:val="clear" w:color="auto" w:fill="auto"/>
          </w:tcPr>
          <w:tbl>
            <w:tblPr>
              <w:tblW w:w="16019" w:type="dxa"/>
              <w:tblLook w:val="0000" w:firstRow="0" w:lastRow="0" w:firstColumn="0" w:lastColumn="0" w:noHBand="0" w:noVBand="0"/>
            </w:tblPr>
            <w:tblGrid>
              <w:gridCol w:w="9097"/>
              <w:gridCol w:w="5074"/>
              <w:gridCol w:w="264"/>
              <w:gridCol w:w="1584"/>
            </w:tblGrid>
            <w:tr>
              <w:tc>
                <w:tcPr>
                  <w:tcW w:w="9097" w:type="dxa"/>
                </w:tcPr>
                <w:p>
                  <w:pPr>
                    <w:spacing w:after="240" w:line="360" w:lineRule="exact"/>
                    <w:ind w:left="0" w:firstLine="0"/>
                    <w:jc w:val="center"/>
                    <w:rPr>
                      <w:rFonts w:ascii="Times New Roman" w:eastAsia="Times New Roman" w:hAnsi="Times New Roman" w:cs="Times New Roman"/>
                      <w:szCs w:val="24"/>
                      <w:lang w:eastAsia="en-US"/>
                    </w:rPr>
                  </w:pPr>
                  <w:r>
                    <w:rPr>
                      <w:rFonts w:ascii="Arial" w:eastAsia="Times New Roman" w:hAnsi="Arial" w:cs="Arial"/>
                      <w:b/>
                      <w:noProof/>
                      <w:sz w:val="72"/>
                      <w:szCs w:val="72"/>
                    </w:rPr>
                    <w:drawing>
                      <wp:anchor distT="0" distB="0" distL="114300" distR="114300" simplePos="0" relativeHeight="251661312" behindDoc="1" locked="0" layoutInCell="1" allowOverlap="1">
                        <wp:simplePos x="0" y="0"/>
                        <wp:positionH relativeFrom="column">
                          <wp:posOffset>882015</wp:posOffset>
                        </wp:positionH>
                        <wp:positionV relativeFrom="paragraph">
                          <wp:posOffset>353695</wp:posOffset>
                        </wp:positionV>
                        <wp:extent cx="1266825" cy="1571625"/>
                        <wp:effectExtent l="0" t="0" r="9525" b="9525"/>
                        <wp:wrapTight wrapText="bothSides">
                          <wp:wrapPolygon edited="0">
                            <wp:start x="0" y="0"/>
                            <wp:lineTo x="0" y="21469"/>
                            <wp:lineTo x="21438" y="21469"/>
                            <wp:lineTo x="21438" y="0"/>
                            <wp:lineTo x="0" y="0"/>
                          </wp:wrapPolygon>
                        </wp:wrapTight>
                        <wp:docPr id="2" name="Picture 2" descr="NEW2020ROSARY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2020ROSARY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6825" cy="1571625"/>
                                </a:xfrm>
                                <a:prstGeom prst="rect">
                                  <a:avLst/>
                                </a:prstGeom>
                                <a:noFill/>
                                <a:ln>
                                  <a:noFill/>
                                </a:ln>
                              </pic:spPr>
                            </pic:pic>
                          </a:graphicData>
                        </a:graphic>
                      </wp:anchor>
                    </w:drawing>
                  </w:r>
                  <w:r>
                    <w:rPr>
                      <w:rFonts w:ascii="Times New Roman" w:eastAsia="Times New Roman" w:hAnsi="Times New Roman" w:cs="Times New Roman"/>
                      <w:noProof/>
                      <w:szCs w:val="24"/>
                    </w:rPr>
                    <mc:AlternateContent>
                      <mc:Choice Requires="wps">
                        <w:drawing>
                          <wp:anchor distT="0" distB="0" distL="114300" distR="114300" simplePos="0" relativeHeight="251659264" behindDoc="0" locked="0" layoutInCell="1" allowOverlap="1">
                            <wp:simplePos x="0" y="0"/>
                            <wp:positionH relativeFrom="column">
                              <wp:posOffset>212725</wp:posOffset>
                            </wp:positionH>
                            <wp:positionV relativeFrom="paragraph">
                              <wp:posOffset>-5744210</wp:posOffset>
                            </wp:positionV>
                            <wp:extent cx="5762625" cy="2362835"/>
                            <wp:effectExtent l="0" t="0" r="0" b="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2625" cy="2362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before="600"/>
                                          <w:rPr>
                                            <w:rFonts w:ascii="Arial" w:hAnsi="Arial" w:cs="Arial"/>
                                            <w:b/>
                                            <w:color w:val="FFFFFF"/>
                                            <w:sz w:val="72"/>
                                            <w:szCs w:val="72"/>
                                          </w:rPr>
                                        </w:pPr>
                                        <w:r>
                                          <w:rPr>
                                            <w:rFonts w:ascii="Arial" w:hAnsi="Arial" w:cs="Arial"/>
                                            <w:b/>
                                            <w:color w:val="FFFFFF"/>
                                            <w:sz w:val="72"/>
                                            <w:szCs w:val="72"/>
                                          </w:rPr>
                                          <w:t>Equality and Diversity in Employment Policy</w:t>
                                        </w:r>
                                      </w:p>
                                      <w:p>
                                        <w:pPr>
                                          <w:spacing w:before="600"/>
                                          <w:rPr>
                                            <w:rFonts w:ascii="Arial" w:hAnsi="Arial" w:cs="Arial"/>
                                            <w:b/>
                                            <w:color w:val="FFFFFF"/>
                                            <w:sz w:val="56"/>
                                            <w:szCs w:val="56"/>
                                          </w:rPr>
                                        </w:pPr>
                                        <w:r>
                                          <w:rPr>
                                            <w:rFonts w:ascii="Arial" w:hAnsi="Arial" w:cs="Arial"/>
                                            <w:b/>
                                            <w:color w:val="FFFFFF"/>
                                            <w:sz w:val="56"/>
                                            <w:szCs w:val="56"/>
                                          </w:rPr>
                                          <w:t>A model for Schools/Academies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left:0;text-align:left;margin-left:16.75pt;margin-top:-452.3pt;width:453.75pt;height:18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" filled="f" stroked="f">
                            <v:textbox>
                              <w:txbxContent>
                                <w:p>
                                  <w:pPr>
                                    <w:spacing w:before="600"/>
                                    <w:rPr>
                                      <w:rFonts w:ascii="Arial" w:hAnsi="Arial" w:cs="Arial"/>
                                      <w:b/>
                                      <w:color w:val="FFFFFF"/>
                                      <w:sz w:val="72"/>
                                      <w:szCs w:val="72"/>
                                    </w:rPr>
                                  </w:pPr>
                                  <w:r>
                                    <w:rPr>
                                      <w:rFonts w:ascii="Arial" w:hAnsi="Arial" w:cs="Arial"/>
                                      <w:b/>
                                      <w:color w:val="FFFFFF"/>
                                      <w:sz w:val="72"/>
                                      <w:szCs w:val="72"/>
                                    </w:rPr>
                                    <w:t>Equality and Diversity in Employment Policy</w:t>
                                  </w:r>
                                </w:p>
                                <w:p>
                                  <w:pPr>
                                    <w:spacing w:before="600"/>
                                    <w:rPr>
                                      <w:rFonts w:ascii="Arial" w:hAnsi="Arial" w:cs="Arial"/>
                                      <w:b/>
                                      <w:color w:val="FFFFFF"/>
                                      <w:sz w:val="56"/>
                                      <w:szCs w:val="56"/>
                                    </w:rPr>
                                  </w:pPr>
                                  <w:r>
                                    <w:rPr>
                                      <w:rFonts w:ascii="Arial" w:hAnsi="Arial" w:cs="Arial"/>
                                      <w:b/>
                                      <w:color w:val="FFFFFF"/>
                                      <w:sz w:val="56"/>
                                      <w:szCs w:val="56"/>
                                    </w:rPr>
                                    <w:t>A model for Schools/Academies</w:t>
                                  </w:r>
                                </w:p>
                              </w:txbxContent>
                            </v:textbox>
                          </v:rect>
                        </w:pict>
                      </mc:Fallback>
                    </mc:AlternateContent>
                  </w:r>
                </w:p>
                <w:p>
                  <w:pPr>
                    <w:spacing w:after="0" w:line="240" w:lineRule="auto"/>
                    <w:ind w:left="0" w:firstLine="0"/>
                    <w:jc w:val="center"/>
                    <w:rPr>
                      <w:rFonts w:ascii="Arial" w:eastAsia="Times New Roman" w:hAnsi="Arial" w:cs="Times New Roman"/>
                      <w:szCs w:val="24"/>
                    </w:rPr>
                  </w:pPr>
                </w:p>
                <w:p>
                  <w:pPr>
                    <w:spacing w:after="0" w:line="240" w:lineRule="auto"/>
                    <w:ind w:left="0" w:firstLine="0"/>
                    <w:jc w:val="center"/>
                    <w:rPr>
                      <w:rFonts w:ascii="Arial" w:eastAsia="Times New Roman" w:hAnsi="Arial" w:cs="Times New Roman"/>
                      <w:szCs w:val="24"/>
                    </w:rPr>
                  </w:pPr>
                  <w:r>
                    <w:rPr>
                      <w:rFonts w:ascii="Arial" w:eastAsia="Times New Roman" w:hAnsi="Arial" w:cs="Times New Roman"/>
                      <w:noProof/>
                      <w:szCs w:val="24"/>
                    </w:rPr>
                    <w:drawing>
                      <wp:anchor distT="0" distB="0" distL="114300" distR="114300" simplePos="0" relativeHeight="251660288" behindDoc="1" locked="0" layoutInCell="1" allowOverlap="1">
                        <wp:simplePos x="0" y="0"/>
                        <wp:positionH relativeFrom="column">
                          <wp:posOffset>4745355</wp:posOffset>
                        </wp:positionH>
                        <wp:positionV relativeFrom="paragraph">
                          <wp:posOffset>108585</wp:posOffset>
                        </wp:positionV>
                        <wp:extent cx="711200" cy="863600"/>
                        <wp:effectExtent l="0" t="0" r="0" b="0"/>
                        <wp:wrapTight wrapText="bothSides">
                          <wp:wrapPolygon edited="0">
                            <wp:start x="0" y="0"/>
                            <wp:lineTo x="0" y="20965"/>
                            <wp:lineTo x="20829" y="20965"/>
                            <wp:lineTo x="20829" y="0"/>
                            <wp:lineTo x="0" y="0"/>
                          </wp:wrapPolygon>
                        </wp:wrapTight>
                        <wp:docPr id="9" name="Picture 9" descr="st clar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 clares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1200" cy="863600"/>
                                </a:xfrm>
                                <a:prstGeom prst="rect">
                                  <a:avLst/>
                                </a:prstGeom>
                                <a:noFill/>
                              </pic:spPr>
                            </pic:pic>
                          </a:graphicData>
                        </a:graphic>
                        <wp14:sizeRelH relativeFrom="page">
                          <wp14:pctWidth>0</wp14:pctWidth>
                        </wp14:sizeRelH>
                        <wp14:sizeRelV relativeFrom="page">
                          <wp14:pctHeight>0</wp14:pctHeight>
                        </wp14:sizeRelV>
                      </wp:anchor>
                    </w:drawing>
                  </w:r>
                </w:p>
                <w:p>
                  <w:pPr>
                    <w:spacing w:after="0" w:line="240" w:lineRule="auto"/>
                    <w:ind w:left="0" w:firstLine="0"/>
                    <w:jc w:val="center"/>
                    <w:rPr>
                      <w:rFonts w:ascii="Arial" w:eastAsia="Times New Roman" w:hAnsi="Arial" w:cs="Arial"/>
                      <w:b/>
                      <w:sz w:val="72"/>
                      <w:szCs w:val="72"/>
                    </w:rPr>
                  </w:pPr>
                </w:p>
                <w:p>
                  <w:pPr>
                    <w:spacing w:after="0" w:line="240" w:lineRule="auto"/>
                    <w:ind w:left="0" w:firstLine="0"/>
                    <w:jc w:val="center"/>
                    <w:rPr>
                      <w:rFonts w:ascii="Arial" w:eastAsia="Times New Roman" w:hAnsi="Arial" w:cs="Arial"/>
                      <w:b/>
                      <w:sz w:val="72"/>
                      <w:szCs w:val="72"/>
                    </w:rPr>
                  </w:pPr>
                </w:p>
                <w:p>
                  <w:pPr>
                    <w:spacing w:after="0" w:line="240" w:lineRule="auto"/>
                    <w:ind w:left="0" w:firstLine="0"/>
                    <w:jc w:val="center"/>
                    <w:rPr>
                      <w:rFonts w:ascii="Arial" w:eastAsia="Times New Roman" w:hAnsi="Arial" w:cs="Arial"/>
                      <w:b/>
                      <w:sz w:val="72"/>
                      <w:szCs w:val="72"/>
                    </w:rPr>
                  </w:pPr>
                </w:p>
                <w:p>
                  <w:pPr>
                    <w:spacing w:after="0" w:line="240" w:lineRule="auto"/>
                    <w:ind w:left="0" w:firstLine="0"/>
                    <w:jc w:val="center"/>
                    <w:rPr>
                      <w:rFonts w:ascii="Cambria" w:eastAsia="Times New Roman" w:hAnsi="Cambria" w:cs="Arial"/>
                      <w:b/>
                      <w:sz w:val="72"/>
                      <w:szCs w:val="72"/>
                    </w:rPr>
                  </w:pPr>
                  <w:r>
                    <w:rPr>
                      <w:rFonts w:ascii="Cambria" w:eastAsia="Times New Roman" w:hAnsi="Cambria" w:cs="Arial"/>
                      <w:b/>
                      <w:sz w:val="72"/>
                      <w:szCs w:val="72"/>
                    </w:rPr>
                    <w:t xml:space="preserve">     </w:t>
                  </w:r>
                  <w:r>
                    <w:rPr>
                      <w:rFonts w:ascii="Cambria" w:eastAsia="Times New Roman" w:hAnsi="Cambria" w:cs="Arial"/>
                      <w:b/>
                      <w:sz w:val="72"/>
                      <w:szCs w:val="72"/>
                    </w:rPr>
                    <w:t>The Rosary Trust</w:t>
                  </w:r>
                </w:p>
                <w:p>
                  <w:pPr>
                    <w:spacing w:after="0" w:line="240" w:lineRule="auto"/>
                    <w:ind w:left="0" w:firstLine="0"/>
                    <w:jc w:val="center"/>
                    <w:rPr>
                      <w:rFonts w:ascii="Cambria" w:eastAsia="Times New Roman" w:hAnsi="Cambria" w:cs="Arial"/>
                      <w:b/>
                      <w:sz w:val="72"/>
                      <w:szCs w:val="72"/>
                    </w:rPr>
                  </w:pPr>
                  <w:r>
                    <w:rPr>
                      <w:rFonts w:ascii="Cambria" w:eastAsia="Times New Roman" w:hAnsi="Cambria" w:cs="Arial"/>
                      <w:b/>
                      <w:sz w:val="72"/>
                      <w:szCs w:val="72"/>
                    </w:rPr>
                    <w:t xml:space="preserve">      </w:t>
                  </w:r>
                  <w:r>
                    <w:rPr>
                      <w:rFonts w:ascii="Cambria" w:eastAsia="Times New Roman" w:hAnsi="Cambria" w:cs="Arial"/>
                      <w:b/>
                      <w:sz w:val="72"/>
                      <w:szCs w:val="72"/>
                    </w:rPr>
                    <w:t xml:space="preserve">A Catholic Education </w:t>
                  </w:r>
                  <w:r>
                    <w:rPr>
                      <w:rFonts w:ascii="Cambria" w:eastAsia="Times New Roman" w:hAnsi="Cambria" w:cs="Arial"/>
                      <w:b/>
                      <w:sz w:val="72"/>
                      <w:szCs w:val="72"/>
                    </w:rPr>
                    <w:t xml:space="preserve">   </w:t>
                  </w:r>
                  <w:r>
                    <w:rPr>
                      <w:rFonts w:ascii="Cambria" w:eastAsia="Times New Roman" w:hAnsi="Cambria" w:cs="Arial"/>
                      <w:b/>
                      <w:sz w:val="72"/>
                      <w:szCs w:val="72"/>
                    </w:rPr>
                    <w:t>Trust</w:t>
                  </w:r>
                </w:p>
                <w:p>
                  <w:pPr>
                    <w:spacing w:after="0" w:line="240" w:lineRule="auto"/>
                    <w:ind w:left="0" w:firstLine="0"/>
                    <w:jc w:val="center"/>
                    <w:rPr>
                      <w:rFonts w:ascii="Cambria" w:eastAsia="Times New Roman" w:hAnsi="Cambria" w:cs="Arial"/>
                      <w:b/>
                      <w:sz w:val="72"/>
                      <w:szCs w:val="72"/>
                    </w:rPr>
                  </w:pPr>
                </w:p>
                <w:p>
                  <w:pPr>
                    <w:spacing w:after="0" w:line="240" w:lineRule="auto"/>
                    <w:ind w:left="0" w:firstLine="0"/>
                    <w:jc w:val="center"/>
                    <w:rPr>
                      <w:rFonts w:ascii="Cambria" w:eastAsia="Times New Roman" w:hAnsi="Cambria" w:cs="Arial"/>
                      <w:b/>
                      <w:sz w:val="52"/>
                      <w:szCs w:val="52"/>
                    </w:rPr>
                  </w:pPr>
                  <w:r>
                    <w:rPr>
                      <w:rFonts w:ascii="Cambria" w:eastAsia="Times New Roman" w:hAnsi="Cambria" w:cs="Arial"/>
                      <w:b/>
                      <w:sz w:val="52"/>
                      <w:szCs w:val="52"/>
                    </w:rPr>
                    <w:t>St Clare’s Catholic Primary</w:t>
                  </w:r>
                </w:p>
                <w:p>
                  <w:pPr>
                    <w:spacing w:after="0" w:line="240" w:lineRule="auto"/>
                    <w:ind w:left="0" w:firstLine="0"/>
                    <w:jc w:val="center"/>
                    <w:rPr>
                      <w:rFonts w:ascii="Cambria" w:eastAsia="Times New Roman" w:hAnsi="Cambria" w:cs="Arial"/>
                      <w:b/>
                      <w:sz w:val="56"/>
                      <w:szCs w:val="56"/>
                    </w:rPr>
                  </w:pPr>
                  <w:r>
                    <w:rPr>
                      <w:rFonts w:ascii="Cambria" w:eastAsia="Times New Roman" w:hAnsi="Cambria" w:cs="Arial"/>
                      <w:b/>
                      <w:sz w:val="52"/>
                      <w:szCs w:val="52"/>
                    </w:rPr>
                    <w:t>School and Nursery</w:t>
                  </w:r>
                </w:p>
                <w:p>
                  <w:pPr>
                    <w:spacing w:after="0" w:line="240" w:lineRule="auto"/>
                    <w:ind w:left="0" w:firstLine="0"/>
                    <w:jc w:val="center"/>
                    <w:rPr>
                      <w:rFonts w:ascii="Gill Sans MT" w:eastAsia="Times New Roman" w:hAnsi="Gill Sans MT" w:cs="Times New Roman"/>
                      <w:sz w:val="72"/>
                      <w:szCs w:val="72"/>
                    </w:rPr>
                  </w:pPr>
                </w:p>
                <w:p>
                  <w:pPr>
                    <w:spacing w:after="0" w:line="240" w:lineRule="auto"/>
                    <w:ind w:left="0" w:firstLine="0"/>
                    <w:jc w:val="center"/>
                    <w:rPr>
                      <w:rFonts w:ascii="Arial" w:eastAsia="Times New Roman" w:hAnsi="Arial" w:cs="Arial"/>
                      <w:b/>
                      <w:sz w:val="36"/>
                      <w:szCs w:val="36"/>
                      <w:u w:val="single"/>
                      <w:lang w:eastAsia="en-US"/>
                    </w:rPr>
                  </w:pPr>
                  <w:r>
                    <w:rPr>
                      <w:rFonts w:ascii="Arial" w:eastAsia="Times New Roman" w:hAnsi="Arial" w:cs="Arial"/>
                      <w:b/>
                      <w:sz w:val="36"/>
                      <w:szCs w:val="36"/>
                      <w:u w:val="single"/>
                      <w:lang w:eastAsia="en-US"/>
                    </w:rPr>
                    <w:t xml:space="preserve">Nursery </w:t>
                  </w:r>
                  <w:r>
                    <w:rPr>
                      <w:rFonts w:ascii="Arial" w:eastAsia="Times New Roman" w:hAnsi="Arial" w:cs="Arial"/>
                      <w:b/>
                      <w:sz w:val="36"/>
                      <w:szCs w:val="36"/>
                      <w:u w:val="single"/>
                      <w:lang w:eastAsia="en-US"/>
                    </w:rPr>
                    <w:t xml:space="preserve">Food </w:t>
                  </w:r>
                  <w:r>
                    <w:rPr>
                      <w:rFonts w:ascii="Arial" w:eastAsia="Times New Roman" w:hAnsi="Arial" w:cs="Arial"/>
                      <w:b/>
                      <w:sz w:val="36"/>
                      <w:szCs w:val="36"/>
                      <w:u w:val="single"/>
                      <w:lang w:eastAsia="en-US"/>
                    </w:rPr>
                    <w:t>Policy</w:t>
                  </w:r>
                </w:p>
                <w:p>
                  <w:pPr>
                    <w:spacing w:after="0" w:line="240" w:lineRule="auto"/>
                    <w:ind w:left="0" w:firstLine="0"/>
                    <w:jc w:val="center"/>
                    <w:rPr>
                      <w:rFonts w:ascii="Arial" w:eastAsia="Times New Roman" w:hAnsi="Arial" w:cs="Arial"/>
                      <w:b/>
                      <w:szCs w:val="24"/>
                    </w:rPr>
                  </w:pPr>
                </w:p>
                <w:p>
                  <w:pPr>
                    <w:spacing w:after="0" w:line="240" w:lineRule="auto"/>
                    <w:ind w:left="0" w:firstLine="0"/>
                    <w:jc w:val="center"/>
                    <w:rPr>
                      <w:rFonts w:ascii="Arial" w:eastAsia="Times New Roman" w:hAnsi="Arial" w:cs="Arial"/>
                      <w:b/>
                      <w:szCs w:val="24"/>
                    </w:rPr>
                  </w:pPr>
                </w:p>
                <w:p>
                  <w:pPr>
                    <w:keepNext/>
                    <w:keepLines/>
                    <w:spacing w:before="480" w:after="0" w:line="276" w:lineRule="auto"/>
                    <w:ind w:left="0" w:firstLine="0"/>
                    <w:jc w:val="center"/>
                    <w:rPr>
                      <w:rFonts w:ascii="Arial" w:eastAsia="MS Gothic" w:hAnsi="Arial" w:cs="Arial"/>
                      <w:b/>
                      <w:bCs/>
                      <w:sz w:val="32"/>
                      <w:szCs w:val="28"/>
                      <w:lang w:val="en-US" w:eastAsia="ja-JP"/>
                    </w:rPr>
                  </w:pPr>
                </w:p>
                <w:p>
                  <w:pPr>
                    <w:spacing w:after="200" w:line="276" w:lineRule="auto"/>
                    <w:ind w:left="0" w:firstLine="0"/>
                    <w:jc w:val="center"/>
                    <w:rPr>
                      <w:rFonts w:ascii="Arial" w:eastAsia="Calibri" w:hAnsi="Arial" w:cs="Arial"/>
                      <w:b/>
                      <w:sz w:val="22"/>
                      <w:lang w:val="en-US" w:eastAsia="en-US"/>
                    </w:rPr>
                  </w:pPr>
                </w:p>
                <w:p>
                  <w:pPr>
                    <w:spacing w:after="200" w:line="276" w:lineRule="auto"/>
                    <w:ind w:left="0" w:firstLine="0"/>
                    <w:jc w:val="center"/>
                    <w:rPr>
                      <w:rFonts w:ascii="Arial" w:eastAsia="Calibri" w:hAnsi="Arial" w:cs="Arial"/>
                      <w:b/>
                      <w:sz w:val="22"/>
                      <w:lang w:val="en-US" w:eastAsia="en-US"/>
                    </w:rPr>
                  </w:pPr>
                </w:p>
                <w:p>
                  <w:pPr>
                    <w:spacing w:after="0" w:line="240" w:lineRule="auto"/>
                    <w:ind w:left="0" w:firstLine="0"/>
                    <w:jc w:val="center"/>
                    <w:rPr>
                      <w:rFonts w:ascii="Cheltenhm BT" w:eastAsia="Times New Roman" w:hAnsi="Cheltenhm BT" w:cs="Times New Roman"/>
                      <w:sz w:val="16"/>
                      <w:szCs w:val="20"/>
                      <w:lang w:eastAsia="en-US"/>
                    </w:rPr>
                  </w:pPr>
                </w:p>
              </w:tc>
              <w:tc>
                <w:tcPr>
                  <w:tcW w:w="5074" w:type="dxa"/>
                </w:tcPr>
                <w:p>
                  <w:pPr>
                    <w:spacing w:after="0" w:line="240" w:lineRule="auto"/>
                    <w:ind w:left="0" w:firstLine="0"/>
                    <w:jc w:val="center"/>
                    <w:rPr>
                      <w:rFonts w:ascii="Cheltenhm BT" w:eastAsia="Times New Roman" w:hAnsi="Cheltenhm BT" w:cs="Times New Roman"/>
                      <w:b/>
                      <w:sz w:val="32"/>
                      <w:szCs w:val="32"/>
                      <w:lang w:eastAsia="en-US"/>
                    </w:rPr>
                  </w:pPr>
                </w:p>
              </w:tc>
              <w:tc>
                <w:tcPr>
                  <w:tcW w:w="264" w:type="dxa"/>
                  <w:tcBorders>
                    <w:left w:val="nil"/>
                  </w:tcBorders>
                </w:tcPr>
                <w:p>
                  <w:pPr>
                    <w:spacing w:after="0" w:line="240" w:lineRule="auto"/>
                    <w:ind w:left="0" w:firstLine="0"/>
                    <w:rPr>
                      <w:rFonts w:ascii="Cheltenhm BT" w:eastAsia="Times New Roman" w:hAnsi="Cheltenhm BT" w:cs="Times New Roman"/>
                      <w:sz w:val="16"/>
                      <w:szCs w:val="20"/>
                      <w:lang w:eastAsia="en-US"/>
                    </w:rPr>
                  </w:pPr>
                </w:p>
              </w:tc>
              <w:tc>
                <w:tcPr>
                  <w:tcW w:w="1584" w:type="dxa"/>
                </w:tcPr>
                <w:p>
                  <w:pPr>
                    <w:spacing w:after="0" w:line="240" w:lineRule="auto"/>
                    <w:ind w:left="33" w:hanging="33"/>
                    <w:jc w:val="right"/>
                    <w:rPr>
                      <w:rFonts w:ascii="Cheltenhm BT" w:eastAsia="Times New Roman" w:hAnsi="Cheltenhm BT" w:cs="Times New Roman"/>
                      <w:sz w:val="20"/>
                      <w:szCs w:val="20"/>
                      <w:lang w:eastAsia="en-US"/>
                    </w:rPr>
                  </w:pPr>
                </w:p>
              </w:tc>
            </w:tr>
          </w:tbl>
          <w:p>
            <w:pPr>
              <w:spacing w:after="0" w:line="240" w:lineRule="auto"/>
              <w:ind w:left="0" w:firstLine="0"/>
              <w:rPr>
                <w:rFonts w:ascii="Times New Roman" w:eastAsia="Times New Roman" w:hAnsi="Times New Roman" w:cs="Times New Roman"/>
                <w:sz w:val="20"/>
                <w:szCs w:val="20"/>
                <w:lang w:eastAsia="en-US"/>
              </w:rPr>
            </w:pPr>
          </w:p>
        </w:tc>
      </w:tr>
    </w:tbl>
    <w:p>
      <w:pPr>
        <w:spacing w:after="160" w:line="259" w:lineRule="auto"/>
        <w:ind w:left="0" w:firstLine="0"/>
        <w:rPr>
          <w:rFonts w:asciiTheme="minorHAnsi" w:eastAsiaTheme="minorHAnsi" w:hAnsiTheme="minorHAnsi" w:cstheme="minorBidi"/>
          <w:b/>
          <w:color w:val="auto"/>
          <w:sz w:val="32"/>
          <w:szCs w:val="32"/>
          <w:u w:val="single"/>
          <w:lang w:eastAsia="en-US"/>
        </w:rPr>
      </w:pPr>
    </w:p>
    <w:p>
      <w:pPr>
        <w:spacing w:after="160" w:line="259" w:lineRule="auto"/>
        <w:ind w:left="0" w:firstLine="0"/>
        <w:rPr>
          <w:rFonts w:asciiTheme="minorHAnsi" w:eastAsiaTheme="minorHAnsi" w:hAnsiTheme="minorHAnsi" w:cstheme="minorBidi"/>
          <w:b/>
          <w:color w:val="auto"/>
          <w:sz w:val="32"/>
          <w:szCs w:val="32"/>
          <w:u w:val="single"/>
          <w:lang w:eastAsia="en-US"/>
        </w:rPr>
      </w:pPr>
      <w:r>
        <w:rPr>
          <w:rFonts w:asciiTheme="minorHAnsi" w:eastAsiaTheme="minorHAnsi" w:hAnsiTheme="minorHAnsi" w:cstheme="minorBidi"/>
          <w:b/>
          <w:color w:val="auto"/>
          <w:sz w:val="32"/>
          <w:szCs w:val="32"/>
          <w:u w:val="single"/>
          <w:lang w:eastAsia="en-US"/>
        </w:rPr>
        <w:br w:type="page"/>
      </w:r>
    </w:p>
    <w:p>
      <w:pPr>
        <w:spacing w:after="160" w:line="259" w:lineRule="auto"/>
        <w:ind w:left="0" w:firstLine="0"/>
        <w:rPr>
          <w:rFonts w:asciiTheme="minorHAnsi" w:eastAsiaTheme="minorHAnsi" w:hAnsiTheme="minorHAnsi" w:cstheme="minorBidi"/>
          <w:b/>
          <w:color w:val="auto"/>
          <w:sz w:val="32"/>
          <w:szCs w:val="32"/>
          <w:u w:val="single"/>
          <w:lang w:eastAsia="en-US"/>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7229"/>
      </w:tblGrid>
      <w:tr>
        <w:trPr>
          <w:jc w:val="center"/>
        </w:trPr>
        <w:tc>
          <w:tcPr>
            <w:tcW w:w="10065" w:type="dxa"/>
            <w:gridSpan w:val="2"/>
            <w:shd w:val="clear" w:color="auto" w:fill="00B0D3"/>
          </w:tcPr>
          <w:p>
            <w:pPr>
              <w:spacing w:after="200" w:line="360" w:lineRule="auto"/>
              <w:ind w:left="1440" w:hanging="720"/>
              <w:jc w:val="center"/>
              <w:rPr>
                <w:rFonts w:ascii="Calibri" w:eastAsia="Calibri" w:hAnsi="Calibri" w:cs="Arial"/>
                <w:b/>
                <w:sz w:val="22"/>
                <w:szCs w:val="24"/>
                <w:lang w:eastAsia="en-US"/>
              </w:rPr>
            </w:pPr>
            <w:r>
              <w:rPr>
                <w:rFonts w:ascii="Calibri" w:eastAsia="Calibri" w:hAnsi="Calibri" w:cs="Arial"/>
                <w:b/>
                <w:sz w:val="22"/>
                <w:szCs w:val="24"/>
                <w:lang w:eastAsia="en-US"/>
              </w:rPr>
              <w:t>Document Detail</w:t>
            </w:r>
          </w:p>
        </w:tc>
      </w:tr>
      <w:tr>
        <w:trPr>
          <w:trHeight w:val="651"/>
          <w:jc w:val="center"/>
        </w:trPr>
        <w:tc>
          <w:tcPr>
            <w:tcW w:w="2836" w:type="dxa"/>
          </w:tcPr>
          <w:p>
            <w:pPr>
              <w:spacing w:after="200" w:line="360" w:lineRule="auto"/>
              <w:ind w:left="0" w:right="-257" w:firstLine="0"/>
              <w:rPr>
                <w:rFonts w:ascii="Calibri" w:eastAsia="Calibri" w:hAnsi="Calibri" w:cs="Arial"/>
                <w:b/>
                <w:sz w:val="22"/>
                <w:lang w:eastAsia="en-US"/>
              </w:rPr>
            </w:pPr>
            <w:r>
              <w:rPr>
                <w:rFonts w:ascii="Calibri" w:eastAsia="Calibri" w:hAnsi="Calibri" w:cs="Arial"/>
                <w:b/>
                <w:sz w:val="22"/>
                <w:lang w:eastAsia="en-US"/>
              </w:rPr>
              <w:t>Category:</w:t>
            </w:r>
          </w:p>
        </w:tc>
        <w:tc>
          <w:tcPr>
            <w:tcW w:w="7229" w:type="dxa"/>
          </w:tcPr>
          <w:p>
            <w:pPr>
              <w:spacing w:after="200" w:line="360" w:lineRule="auto"/>
              <w:ind w:left="0" w:firstLine="0"/>
              <w:rPr>
                <w:rFonts w:ascii="Calibri" w:eastAsia="Calibri" w:hAnsi="Calibri" w:cs="Arial"/>
                <w:sz w:val="22"/>
                <w:lang w:eastAsia="en-US"/>
              </w:rPr>
            </w:pPr>
            <w:r>
              <w:rPr>
                <w:rFonts w:ascii="Calibri" w:eastAsia="Calibri" w:hAnsi="Calibri" w:cs="Arial"/>
                <w:sz w:val="22"/>
                <w:lang w:eastAsia="en-US"/>
              </w:rPr>
              <w:t>Curriculum Management</w:t>
            </w:r>
          </w:p>
        </w:tc>
      </w:tr>
      <w:tr>
        <w:trPr>
          <w:jc w:val="center"/>
        </w:trPr>
        <w:tc>
          <w:tcPr>
            <w:tcW w:w="2836" w:type="dxa"/>
          </w:tcPr>
          <w:p>
            <w:pPr>
              <w:spacing w:after="200" w:line="360" w:lineRule="auto"/>
              <w:ind w:left="0" w:firstLine="0"/>
              <w:rPr>
                <w:rFonts w:ascii="Calibri" w:eastAsia="Calibri" w:hAnsi="Calibri" w:cs="Arial"/>
                <w:b/>
                <w:sz w:val="22"/>
                <w:lang w:eastAsia="en-US"/>
              </w:rPr>
            </w:pPr>
            <w:r>
              <w:rPr>
                <w:rFonts w:ascii="Calibri" w:eastAsia="Calibri" w:hAnsi="Calibri" w:cs="Arial"/>
                <w:b/>
                <w:sz w:val="22"/>
                <w:lang w:eastAsia="en-US"/>
              </w:rPr>
              <w:t>Authorised By:</w:t>
            </w:r>
          </w:p>
        </w:tc>
        <w:tc>
          <w:tcPr>
            <w:tcW w:w="7229" w:type="dxa"/>
          </w:tcPr>
          <w:p>
            <w:pPr>
              <w:spacing w:after="200" w:line="360" w:lineRule="auto"/>
              <w:ind w:left="0" w:firstLine="0"/>
              <w:rPr>
                <w:rFonts w:ascii="Calibri" w:eastAsia="Calibri" w:hAnsi="Calibri" w:cs="Arial"/>
                <w:sz w:val="22"/>
                <w:lang w:eastAsia="en-US"/>
              </w:rPr>
            </w:pPr>
            <w:r>
              <w:rPr>
                <w:rFonts w:ascii="Calibri" w:eastAsia="Calibri" w:hAnsi="Calibri" w:cs="Arial"/>
                <w:sz w:val="22"/>
                <w:lang w:eastAsia="en-US"/>
              </w:rPr>
              <w:t>Full Governing Body</w:t>
            </w:r>
          </w:p>
        </w:tc>
      </w:tr>
      <w:tr>
        <w:trPr>
          <w:jc w:val="center"/>
        </w:trPr>
        <w:tc>
          <w:tcPr>
            <w:tcW w:w="2836" w:type="dxa"/>
          </w:tcPr>
          <w:p>
            <w:pPr>
              <w:spacing w:after="200" w:line="360" w:lineRule="auto"/>
              <w:ind w:left="0" w:firstLine="0"/>
              <w:rPr>
                <w:rFonts w:ascii="Calibri" w:eastAsia="Calibri" w:hAnsi="Calibri" w:cs="Arial"/>
                <w:b/>
                <w:sz w:val="22"/>
                <w:lang w:eastAsia="en-US"/>
              </w:rPr>
            </w:pPr>
            <w:r>
              <w:rPr>
                <w:rFonts w:ascii="Calibri" w:eastAsia="Calibri" w:hAnsi="Calibri" w:cs="Arial"/>
                <w:b/>
                <w:sz w:val="22"/>
                <w:lang w:eastAsia="en-US"/>
              </w:rPr>
              <w:t>Status:</w:t>
            </w:r>
          </w:p>
        </w:tc>
        <w:tc>
          <w:tcPr>
            <w:tcW w:w="7229" w:type="dxa"/>
          </w:tcPr>
          <w:p>
            <w:pPr>
              <w:spacing w:after="200" w:line="360" w:lineRule="auto"/>
              <w:ind w:left="-2" w:hanging="2"/>
              <w:rPr>
                <w:rFonts w:ascii="Calibri" w:eastAsia="Calibri" w:hAnsi="Calibri" w:cs="Arial"/>
                <w:sz w:val="22"/>
                <w:lang w:eastAsia="en-US"/>
              </w:rPr>
            </w:pPr>
            <w:r>
              <w:rPr>
                <w:rFonts w:ascii="Calibri" w:eastAsia="Calibri" w:hAnsi="Calibri" w:cs="Arial"/>
                <w:sz w:val="22"/>
                <w:lang w:eastAsia="en-US"/>
              </w:rPr>
              <w:t xml:space="preserve">Approved </w:t>
            </w:r>
          </w:p>
        </w:tc>
      </w:tr>
      <w:tr>
        <w:trPr>
          <w:jc w:val="center"/>
        </w:trPr>
        <w:tc>
          <w:tcPr>
            <w:tcW w:w="2836" w:type="dxa"/>
          </w:tcPr>
          <w:p>
            <w:pPr>
              <w:spacing w:after="200" w:line="360" w:lineRule="auto"/>
              <w:ind w:left="0" w:firstLine="0"/>
              <w:rPr>
                <w:rFonts w:ascii="Calibri" w:eastAsia="Calibri" w:hAnsi="Calibri" w:cs="Arial"/>
                <w:b/>
                <w:sz w:val="22"/>
                <w:lang w:eastAsia="en-US"/>
              </w:rPr>
            </w:pPr>
            <w:r>
              <w:rPr>
                <w:rFonts w:ascii="Calibri" w:eastAsia="Calibri" w:hAnsi="Calibri" w:cs="Arial"/>
                <w:b/>
                <w:sz w:val="22"/>
                <w:lang w:eastAsia="en-US"/>
              </w:rPr>
              <w:t>Chair of Governors Signature</w:t>
            </w:r>
          </w:p>
        </w:tc>
        <w:tc>
          <w:tcPr>
            <w:tcW w:w="7229" w:type="dxa"/>
          </w:tcPr>
          <w:p>
            <w:pPr>
              <w:spacing w:after="200" w:line="360" w:lineRule="auto"/>
              <w:ind w:left="0" w:firstLine="0"/>
              <w:rPr>
                <w:rFonts w:ascii="Calibri" w:eastAsia="Calibri" w:hAnsi="Calibri" w:cs="Arial"/>
                <w:sz w:val="22"/>
                <w:lang w:eastAsia="en-US"/>
              </w:rPr>
            </w:pPr>
            <w:r>
              <w:rPr>
                <w:rFonts w:ascii="Calibri" w:eastAsia="Calibri" w:hAnsi="Calibri" w:cs="Arial"/>
                <w:noProof/>
                <w:sz w:val="22"/>
              </w:rPr>
              <w:drawing>
                <wp:inline distT="0" distB="0" distL="0" distR="0">
                  <wp:extent cx="2409825" cy="6712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8322" cy="690340"/>
                          </a:xfrm>
                          <a:prstGeom prst="rect">
                            <a:avLst/>
                          </a:prstGeom>
                          <a:noFill/>
                          <a:ln>
                            <a:noFill/>
                          </a:ln>
                        </pic:spPr>
                      </pic:pic>
                    </a:graphicData>
                  </a:graphic>
                </wp:inline>
              </w:drawing>
            </w:r>
          </w:p>
        </w:tc>
      </w:tr>
      <w:tr>
        <w:trPr>
          <w:jc w:val="center"/>
        </w:trPr>
        <w:tc>
          <w:tcPr>
            <w:tcW w:w="2836" w:type="dxa"/>
          </w:tcPr>
          <w:p>
            <w:pPr>
              <w:spacing w:after="200" w:line="360" w:lineRule="auto"/>
              <w:ind w:left="0" w:firstLine="0"/>
              <w:rPr>
                <w:rFonts w:ascii="Calibri" w:eastAsia="Calibri" w:hAnsi="Calibri" w:cs="Arial"/>
                <w:b/>
                <w:sz w:val="22"/>
                <w:lang w:eastAsia="en-US"/>
              </w:rPr>
            </w:pPr>
            <w:r>
              <w:rPr>
                <w:rFonts w:ascii="Calibri" w:eastAsia="Calibri" w:hAnsi="Calibri" w:cs="Arial"/>
                <w:b/>
                <w:sz w:val="22"/>
                <w:lang w:eastAsia="en-US"/>
              </w:rPr>
              <w:t>Date Approved:</w:t>
            </w:r>
          </w:p>
        </w:tc>
        <w:tc>
          <w:tcPr>
            <w:tcW w:w="7229" w:type="dxa"/>
          </w:tcPr>
          <w:p>
            <w:pPr>
              <w:spacing w:after="200" w:line="360" w:lineRule="auto"/>
              <w:ind w:left="0" w:firstLine="0"/>
              <w:rPr>
                <w:rFonts w:ascii="Calibri" w:eastAsia="Calibri" w:hAnsi="Calibri" w:cs="Arial"/>
                <w:sz w:val="22"/>
                <w:lang w:eastAsia="en-US"/>
              </w:rPr>
            </w:pPr>
            <w:r>
              <w:rPr>
                <w:rFonts w:ascii="Calibri" w:eastAsia="Calibri" w:hAnsi="Calibri" w:cs="Arial"/>
                <w:sz w:val="22"/>
                <w:lang w:eastAsia="en-US"/>
              </w:rPr>
              <w:t>November 2025</w:t>
            </w:r>
          </w:p>
        </w:tc>
      </w:tr>
      <w:tr>
        <w:trPr>
          <w:jc w:val="center"/>
        </w:trPr>
        <w:tc>
          <w:tcPr>
            <w:tcW w:w="2836" w:type="dxa"/>
          </w:tcPr>
          <w:p>
            <w:pPr>
              <w:spacing w:after="200" w:line="360" w:lineRule="auto"/>
              <w:ind w:left="0" w:firstLine="0"/>
              <w:rPr>
                <w:rFonts w:ascii="Calibri" w:eastAsia="Calibri" w:hAnsi="Calibri" w:cs="Arial"/>
                <w:b/>
                <w:sz w:val="22"/>
                <w:lang w:eastAsia="en-US"/>
              </w:rPr>
            </w:pPr>
            <w:r>
              <w:rPr>
                <w:rFonts w:ascii="Calibri" w:eastAsia="Calibri" w:hAnsi="Calibri" w:cs="Arial"/>
                <w:b/>
                <w:sz w:val="22"/>
                <w:lang w:eastAsia="en-US"/>
              </w:rPr>
              <w:t>Issue Date:</w:t>
            </w:r>
          </w:p>
        </w:tc>
        <w:tc>
          <w:tcPr>
            <w:tcW w:w="7229" w:type="dxa"/>
          </w:tcPr>
          <w:p>
            <w:pPr>
              <w:spacing w:after="200" w:line="360" w:lineRule="auto"/>
              <w:ind w:left="0" w:firstLine="0"/>
              <w:rPr>
                <w:rFonts w:ascii="Calibri" w:eastAsia="Calibri" w:hAnsi="Calibri" w:cs="Arial"/>
                <w:sz w:val="22"/>
                <w:lang w:eastAsia="en-US"/>
              </w:rPr>
            </w:pPr>
            <w:r>
              <w:rPr>
                <w:rFonts w:ascii="Calibri" w:eastAsia="Calibri" w:hAnsi="Calibri" w:cs="Arial"/>
                <w:sz w:val="22"/>
                <w:lang w:eastAsia="en-US"/>
              </w:rPr>
              <w:t>November 2027</w:t>
            </w:r>
          </w:p>
        </w:tc>
      </w:tr>
    </w:tbl>
    <w:p>
      <w:pPr>
        <w:spacing w:after="160" w:line="259" w:lineRule="auto"/>
        <w:ind w:left="0" w:firstLine="0"/>
        <w:rPr>
          <w:rFonts w:asciiTheme="minorHAnsi" w:eastAsiaTheme="minorHAnsi" w:hAnsiTheme="minorHAnsi" w:cstheme="minorBidi"/>
          <w:b/>
          <w:color w:val="auto"/>
          <w:sz w:val="32"/>
          <w:szCs w:val="32"/>
          <w:u w:val="single"/>
          <w:lang w:eastAsia="en-US"/>
        </w:rPr>
      </w:pPr>
    </w:p>
    <w:p>
      <w:pPr>
        <w:spacing w:after="160" w:line="259" w:lineRule="auto"/>
        <w:ind w:left="0" w:firstLine="0"/>
        <w:rPr>
          <w:rFonts w:asciiTheme="minorHAnsi" w:eastAsiaTheme="minorHAnsi" w:hAnsiTheme="minorHAnsi" w:cstheme="minorBidi"/>
          <w:b/>
          <w:color w:val="auto"/>
          <w:sz w:val="32"/>
          <w:szCs w:val="32"/>
          <w:u w:val="single"/>
          <w:lang w:eastAsia="en-US"/>
        </w:rPr>
      </w:pPr>
      <w:r>
        <w:rPr>
          <w:rFonts w:asciiTheme="minorHAnsi" w:eastAsiaTheme="minorHAnsi" w:hAnsiTheme="minorHAnsi" w:cstheme="minorBidi"/>
          <w:b/>
          <w:color w:val="auto"/>
          <w:sz w:val="32"/>
          <w:szCs w:val="32"/>
          <w:u w:val="single"/>
          <w:lang w:eastAsia="en-US"/>
        </w:rPr>
        <w:br w:type="page"/>
      </w:r>
      <w:bookmarkStart w:id="0" w:name="_GoBack"/>
      <w:bookmarkEnd w:id="0"/>
    </w:p>
    <w:p>
      <w:pPr>
        <w:pStyle w:val="Heading2"/>
        <w:ind w:left="-5"/>
        <w:rPr>
          <w:sz w:val="28"/>
          <w:szCs w:val="28"/>
        </w:rPr>
      </w:pPr>
    </w:p>
    <w:p>
      <w:pPr>
        <w:pStyle w:val="Heading2"/>
        <w:ind w:left="-5"/>
        <w:jc w:val="center"/>
        <w:rPr>
          <w:rFonts w:asciiTheme="minorHAnsi" w:hAnsiTheme="minorHAnsi" w:cstheme="minorHAnsi"/>
          <w:color w:val="auto"/>
          <w:sz w:val="28"/>
          <w:szCs w:val="28"/>
          <w:u w:val="single"/>
        </w:rPr>
      </w:pPr>
      <w:r>
        <w:rPr>
          <w:rFonts w:asciiTheme="minorHAnsi" w:hAnsiTheme="minorHAnsi" w:cstheme="minorHAnsi"/>
          <w:color w:val="auto"/>
          <w:sz w:val="28"/>
          <w:szCs w:val="28"/>
          <w:u w:val="single"/>
        </w:rPr>
        <w:t>St Clare’s Nursery Food Policy</w:t>
      </w:r>
    </w:p>
    <w:p>
      <w:pPr>
        <w:pStyle w:val="Heading2"/>
        <w:ind w:left="0" w:firstLine="0"/>
        <w:rPr>
          <w:rFonts w:asciiTheme="minorHAnsi" w:hAnsiTheme="minorHAnsi" w:cstheme="minorHAnsi"/>
          <w:color w:val="auto"/>
          <w:sz w:val="28"/>
          <w:szCs w:val="28"/>
        </w:rPr>
      </w:pPr>
    </w:p>
    <w:p>
      <w:pPr>
        <w:pStyle w:val="Heading2"/>
        <w:ind w:left="-5"/>
        <w:rPr>
          <w:rFonts w:asciiTheme="minorHAnsi" w:hAnsiTheme="minorHAnsi" w:cstheme="minorHAnsi"/>
          <w:color w:val="auto"/>
          <w:sz w:val="28"/>
          <w:szCs w:val="28"/>
        </w:rPr>
      </w:pPr>
      <w:r>
        <w:rPr>
          <w:rFonts w:asciiTheme="minorHAnsi" w:hAnsiTheme="minorHAnsi" w:cstheme="minorHAnsi"/>
          <w:color w:val="auto"/>
          <w:sz w:val="28"/>
          <w:szCs w:val="28"/>
        </w:rPr>
        <w:t xml:space="preserve">Policy Statement </w:t>
      </w:r>
    </w:p>
    <w:p>
      <w:pPr>
        <w:ind w:left="-5"/>
        <w:rPr>
          <w:rFonts w:asciiTheme="minorHAnsi" w:hAnsiTheme="minorHAnsi" w:cstheme="minorHAnsi"/>
          <w:sz w:val="28"/>
          <w:szCs w:val="28"/>
        </w:rPr>
      </w:pPr>
      <w:r>
        <w:rPr>
          <w:rFonts w:asciiTheme="minorHAnsi" w:hAnsiTheme="minorHAnsi" w:cstheme="minorHAnsi"/>
          <w:sz w:val="28"/>
          <w:szCs w:val="28"/>
        </w:rPr>
        <w:t xml:space="preserve">St Clare’s Nursery actively promotes healthy eating and a positive food culture within the setting and at home. We are committed to providing nutritious food, safe practices, and inclusive experiences in line with the Early Years Foundation Stage (EYFS) Statutory Framework 2025 and best safeguarding practices. </w:t>
      </w:r>
    </w:p>
    <w:p>
      <w:pPr>
        <w:pStyle w:val="Heading2"/>
        <w:ind w:left="-5"/>
        <w:rPr>
          <w:rFonts w:asciiTheme="minorHAnsi" w:hAnsiTheme="minorHAnsi" w:cstheme="minorHAnsi"/>
          <w:color w:val="auto"/>
          <w:sz w:val="28"/>
          <w:szCs w:val="28"/>
        </w:rPr>
      </w:pPr>
      <w:r>
        <w:rPr>
          <w:rFonts w:asciiTheme="minorHAnsi" w:hAnsiTheme="minorHAnsi" w:cstheme="minorHAnsi"/>
          <w:color w:val="auto"/>
          <w:sz w:val="28"/>
          <w:szCs w:val="28"/>
        </w:rPr>
        <w:t xml:space="preserve">Aims </w:t>
      </w:r>
    </w:p>
    <w:p>
      <w:pPr>
        <w:spacing w:after="263"/>
        <w:ind w:left="-5"/>
        <w:rPr>
          <w:rFonts w:asciiTheme="minorHAnsi" w:hAnsiTheme="minorHAnsi" w:cstheme="minorHAnsi"/>
          <w:sz w:val="28"/>
          <w:szCs w:val="28"/>
        </w:rPr>
      </w:pPr>
      <w:r>
        <w:rPr>
          <w:rFonts w:asciiTheme="minorHAnsi" w:hAnsiTheme="minorHAnsi" w:cstheme="minorHAnsi"/>
          <w:sz w:val="28"/>
          <w:szCs w:val="28"/>
        </w:rPr>
        <w:t xml:space="preserve">Our aims are to: </w:t>
      </w:r>
    </w:p>
    <w:p>
      <w:pPr>
        <w:numPr>
          <w:ilvl w:val="0"/>
          <w:numId w:val="1"/>
        </w:numPr>
        <w:spacing w:after="58"/>
        <w:ind w:hanging="360"/>
        <w:rPr>
          <w:rFonts w:asciiTheme="minorHAnsi" w:hAnsiTheme="minorHAnsi" w:cstheme="minorHAnsi"/>
          <w:sz w:val="28"/>
          <w:szCs w:val="28"/>
        </w:rPr>
      </w:pPr>
      <w:r>
        <w:rPr>
          <w:rFonts w:asciiTheme="minorHAnsi" w:hAnsiTheme="minorHAnsi" w:cstheme="minorHAnsi"/>
          <w:sz w:val="28"/>
          <w:szCs w:val="28"/>
        </w:rPr>
        <w:t xml:space="preserve">Promote the health and wellbeing of pupils, staff and families within our community. </w:t>
      </w:r>
    </w:p>
    <w:p>
      <w:pPr>
        <w:numPr>
          <w:ilvl w:val="0"/>
          <w:numId w:val="1"/>
        </w:numPr>
        <w:spacing w:after="23"/>
        <w:ind w:hanging="360"/>
        <w:rPr>
          <w:rFonts w:asciiTheme="minorHAnsi" w:hAnsiTheme="minorHAnsi" w:cstheme="minorHAnsi"/>
          <w:sz w:val="28"/>
          <w:szCs w:val="28"/>
        </w:rPr>
      </w:pPr>
      <w:r>
        <w:rPr>
          <w:rFonts w:asciiTheme="minorHAnsi" w:hAnsiTheme="minorHAnsi" w:cstheme="minorHAnsi"/>
          <w:sz w:val="28"/>
          <w:szCs w:val="28"/>
        </w:rPr>
        <w:t xml:space="preserve">Adhere to nutrition guidance EYFS 2025 and Safer Eating in Early Years. </w:t>
      </w:r>
    </w:p>
    <w:p>
      <w:pPr>
        <w:numPr>
          <w:ilvl w:val="0"/>
          <w:numId w:val="1"/>
        </w:numPr>
        <w:spacing w:after="31" w:line="259" w:lineRule="auto"/>
        <w:ind w:hanging="360"/>
        <w:rPr>
          <w:rFonts w:asciiTheme="minorHAnsi" w:hAnsiTheme="minorHAnsi" w:cstheme="minorHAnsi"/>
          <w:sz w:val="28"/>
          <w:szCs w:val="28"/>
        </w:rPr>
      </w:pPr>
      <w:r>
        <w:rPr>
          <w:rFonts w:asciiTheme="minorHAnsi" w:hAnsiTheme="minorHAnsi" w:cstheme="minorHAnsi"/>
          <w:sz w:val="28"/>
          <w:szCs w:val="28"/>
        </w:rPr>
        <w:t>Inform parents of the ‘5 a day’ campaign and support this at nursery.</w:t>
      </w:r>
    </w:p>
    <w:p>
      <w:pPr>
        <w:numPr>
          <w:ilvl w:val="0"/>
          <w:numId w:val="1"/>
        </w:numPr>
        <w:spacing w:after="26"/>
        <w:ind w:hanging="360"/>
        <w:rPr>
          <w:rFonts w:asciiTheme="minorHAnsi" w:hAnsiTheme="minorHAnsi" w:cstheme="minorHAnsi"/>
          <w:sz w:val="28"/>
          <w:szCs w:val="28"/>
        </w:rPr>
      </w:pPr>
      <w:r>
        <w:rPr>
          <w:rFonts w:asciiTheme="minorHAnsi" w:hAnsiTheme="minorHAnsi" w:cstheme="minorHAnsi"/>
          <w:sz w:val="28"/>
          <w:szCs w:val="28"/>
        </w:rPr>
        <w:t>Maintain a nut free setting, due to allergies.</w:t>
      </w:r>
    </w:p>
    <w:p>
      <w:pPr>
        <w:numPr>
          <w:ilvl w:val="0"/>
          <w:numId w:val="1"/>
        </w:numPr>
        <w:spacing w:after="167"/>
        <w:ind w:hanging="360"/>
        <w:rPr>
          <w:rFonts w:asciiTheme="minorHAnsi" w:hAnsiTheme="minorHAnsi" w:cstheme="minorHAnsi"/>
          <w:sz w:val="28"/>
          <w:szCs w:val="28"/>
        </w:rPr>
      </w:pPr>
      <w:r>
        <w:rPr>
          <w:rFonts w:asciiTheme="minorHAnsi" w:hAnsiTheme="minorHAnsi" w:cstheme="minorHAnsi"/>
          <w:sz w:val="28"/>
          <w:szCs w:val="28"/>
        </w:rPr>
        <w:t>Provide a clean and safe environment during snack and lunchtimes.</w:t>
      </w:r>
    </w:p>
    <w:p>
      <w:pPr>
        <w:pStyle w:val="Heading2"/>
        <w:ind w:left="-5"/>
        <w:rPr>
          <w:rFonts w:asciiTheme="minorHAnsi" w:hAnsiTheme="minorHAnsi" w:cstheme="minorHAnsi"/>
          <w:color w:val="auto"/>
        </w:rPr>
      </w:pPr>
      <w:r>
        <w:rPr>
          <w:rFonts w:asciiTheme="minorHAnsi" w:hAnsiTheme="minorHAnsi" w:cstheme="minorHAnsi"/>
          <w:color w:val="auto"/>
        </w:rPr>
        <w:t xml:space="preserve">Packed Lunches </w:t>
      </w:r>
    </w:p>
    <w:p>
      <w:pPr>
        <w:ind w:left="-5"/>
      </w:pPr>
      <w:r>
        <w:t>Parents must provide a healthy packed lunch, not including: sweets, fizzy/sugary drinks, products containing nuts, food that requires reheating etc. We ask parent/carers to provide:</w:t>
      </w:r>
    </w:p>
    <w:p>
      <w:pPr>
        <w:pStyle w:val="ListParagraph"/>
        <w:numPr>
          <w:ilvl w:val="0"/>
          <w:numId w:val="2"/>
        </w:numPr>
      </w:pPr>
      <w:r>
        <w:t>Main – e.g. sandwich (mix of white, wholegrain and brown bread), crackers, breadsticks, wraps and pots of fillings, pasta etc.</w:t>
      </w:r>
    </w:p>
    <w:p>
      <w:pPr>
        <w:pStyle w:val="ListParagraph"/>
        <w:numPr>
          <w:ilvl w:val="0"/>
          <w:numId w:val="2"/>
        </w:numPr>
      </w:pPr>
      <w:r>
        <w:t>Fillings – Lower-Fat lean meat e.g. chicken/turkey, fish e.g. tuna/salmon, low fat cream cheese and reduced fat hard cheese, low fat hummus.</w:t>
      </w:r>
    </w:p>
    <w:p>
      <w:pPr>
        <w:pStyle w:val="ListParagraph"/>
        <w:numPr>
          <w:ilvl w:val="0"/>
          <w:numId w:val="2"/>
        </w:numPr>
      </w:pPr>
      <w:r>
        <w:t>Salad, Fruit and Vegetables e.g. cherry tomatoes, cucumber and peppers.</w:t>
      </w:r>
    </w:p>
    <w:p>
      <w:pPr>
        <w:pStyle w:val="ListParagraph"/>
        <w:numPr>
          <w:ilvl w:val="0"/>
          <w:numId w:val="2"/>
        </w:numPr>
      </w:pPr>
      <w:r>
        <w:t>Yogurt – Low fat and lower sugar and add your own fruit.</w:t>
      </w:r>
    </w:p>
    <w:p>
      <w:pPr>
        <w:pStyle w:val="ListParagraph"/>
        <w:numPr>
          <w:ilvl w:val="0"/>
          <w:numId w:val="2"/>
        </w:numPr>
      </w:pPr>
      <w:r>
        <w:t>Rice cakes – avoid crisps.</w:t>
      </w:r>
    </w:p>
    <w:p>
      <w:pPr>
        <w:pStyle w:val="ListParagraph"/>
        <w:numPr>
          <w:ilvl w:val="0"/>
          <w:numId w:val="2"/>
        </w:numPr>
      </w:pPr>
      <w:r>
        <w:t xml:space="preserve">Snacks – Reduce fruit bars and use dried fruit like raisins and dried apricots as an alternative. Keep dried fruits to meal times. Try swapping sweet treats to malt loaf, fruited tea cakes, fruit breads or fresh fruit. </w:t>
      </w:r>
    </w:p>
    <w:p>
      <w:pPr>
        <w:ind w:left="0" w:firstLine="0"/>
      </w:pPr>
      <w:r>
        <w:t xml:space="preserve">There are healthy lunchbox recipes on the </w:t>
      </w:r>
      <w:hyperlink r:id="rId8" w:history="1">
        <w:r>
          <w:rPr>
            <w:rStyle w:val="Hyperlink"/>
          </w:rPr>
          <w:t>www.nhs.co.uk</w:t>
        </w:r>
      </w:hyperlink>
      <w:r>
        <w:t xml:space="preserve"> website. Refer to the Eat Well Guide, this shows how to achieve a healthy and well-balanced diet. </w:t>
      </w:r>
    </w:p>
    <w:p>
      <w:pPr>
        <w:ind w:left="0" w:firstLine="0"/>
      </w:pPr>
      <w:r>
        <w:t xml:space="preserve">Please encourage your children to choose what goes in their lunchbox as they are more likely to eat it if they have helped make it. </w:t>
      </w:r>
    </w:p>
    <w:p>
      <w:pPr>
        <w:pStyle w:val="Heading2"/>
        <w:ind w:left="-5"/>
        <w:rPr>
          <w:rFonts w:asciiTheme="minorHAnsi" w:hAnsiTheme="minorHAnsi" w:cstheme="minorHAnsi"/>
          <w:color w:val="auto"/>
        </w:rPr>
      </w:pPr>
      <w:r>
        <w:rPr>
          <w:rFonts w:asciiTheme="minorHAnsi" w:hAnsiTheme="minorHAnsi" w:cstheme="minorHAnsi"/>
          <w:color w:val="auto"/>
        </w:rPr>
        <w:t xml:space="preserve">Snack Times </w:t>
      </w:r>
    </w:p>
    <w:p>
      <w:pPr>
        <w:ind w:left="-5"/>
      </w:pPr>
      <w:r>
        <w:t>Nutritious snacks are provided for our nursery children. They receive free fruit, vegetables and milk daily under the government scheme. All children are encouraged to drink water throughout their sessions.</w:t>
      </w:r>
    </w:p>
    <w:p>
      <w:pPr>
        <w:ind w:left="-5"/>
      </w:pPr>
    </w:p>
    <w:p>
      <w:pPr>
        <w:pStyle w:val="Heading2"/>
        <w:ind w:left="-5"/>
        <w:rPr>
          <w:color w:val="auto"/>
        </w:rPr>
      </w:pPr>
      <w:r>
        <w:rPr>
          <w:color w:val="auto"/>
        </w:rPr>
        <w:t>Supervision</w:t>
      </w:r>
    </w:p>
    <w:p>
      <w:pPr>
        <w:ind w:left="-5"/>
      </w:pPr>
      <w:r>
        <w:t>All food consumed in nursery is supervised by staff trained in food hygiene. During meals, staff ensure they are within sight and hearing of the children. A staff member is allocated to each table. Staff will assist with opening of lunch boxes and foods and will monitor items that are required to be cut up to avoid choking. A positive environment is encouraged through good manners and behaviour management.</w:t>
      </w:r>
    </w:p>
    <w:p>
      <w:pPr>
        <w:pStyle w:val="Heading2"/>
        <w:ind w:left="-5"/>
        <w:rPr>
          <w:color w:val="auto"/>
        </w:rPr>
      </w:pPr>
      <w:r>
        <w:rPr>
          <w:color w:val="auto"/>
        </w:rPr>
        <w:t>Allergies</w:t>
      </w:r>
    </w:p>
    <w:p>
      <w:pPr>
        <w:ind w:left="-5"/>
      </w:pPr>
      <w:r>
        <w:t xml:space="preserve">We aim to be a nut-free environment and ask parents not to send any nut-containing products to nursery. All staff are aware of children’s allergy needs and the list is available in the kitchen area for all staff to view. Children are not permitted to share foods. Most staff are paediatric first aid trained. </w:t>
      </w:r>
    </w:p>
    <w:p>
      <w:pPr>
        <w:pStyle w:val="Heading2"/>
        <w:ind w:left="-5"/>
      </w:pPr>
      <w:r>
        <w:rPr>
          <w:color w:val="auto"/>
        </w:rPr>
        <w:t>Celebrations</w:t>
      </w:r>
      <w:r>
        <w:t xml:space="preserve"> </w:t>
      </w:r>
    </w:p>
    <w:p>
      <w:pPr>
        <w:ind w:left="-5"/>
      </w:pPr>
      <w:r>
        <w:t>Parent/carers are asked to provide birthday cakes and other foods in packaging so that staff can determine the allergy risks. Children are taught about healthy eating and having minimal treats. All home baked food must have a list of ingredients used.</w:t>
      </w:r>
    </w:p>
    <w:p>
      <w:pPr>
        <w:pStyle w:val="Heading2"/>
        <w:ind w:left="-5"/>
        <w:rPr>
          <w:color w:val="auto"/>
        </w:rPr>
      </w:pPr>
      <w:r>
        <w:rPr>
          <w:color w:val="auto"/>
        </w:rPr>
        <w:t>Hygiene</w:t>
      </w:r>
    </w:p>
    <w:p>
      <w:pPr>
        <w:ind w:left="-5"/>
      </w:pPr>
      <w:r>
        <w:t>All staff handling food have the appropriate training. Children are taken to toilet and wash before and after snack and lunch times and are taught about the importance of undertaking this.</w:t>
      </w:r>
    </w:p>
    <w:p>
      <w:pPr>
        <w:pStyle w:val="Heading2"/>
        <w:ind w:left="-5"/>
        <w:rPr>
          <w:color w:val="auto"/>
        </w:rPr>
      </w:pPr>
      <w:r>
        <w:rPr>
          <w:color w:val="auto"/>
        </w:rPr>
        <w:t>Review and monitoring</w:t>
      </w:r>
    </w:p>
    <w:p>
      <w:pPr>
        <w:ind w:left="-5"/>
      </w:pPr>
      <w:r>
        <w:t xml:space="preserve">This policy is monitored by the nursery manager/school SLT/governors and is reviewed in response to statutory updates or public health guidance. Nursery newsletters reinforce positive eating practices and flyers are sent out to parents/carers via our Tapestry Learning Journal for any updates. </w:t>
      </w:r>
    </w:p>
    <w:p/>
    <w:sectPr>
      <w:pgSz w:w="12240" w:h="15840"/>
      <w:pgMar w:top="766" w:right="751" w:bottom="982" w:left="720" w:header="720" w:footer="720" w:gutter="0"/>
      <w:pgBorders w:display="firstPage" w:offsetFrom="page">
        <w:top w:val="single" w:sz="24" w:space="24" w:color="FF0000"/>
        <w:left w:val="single" w:sz="24" w:space="24" w:color="FF0000"/>
        <w:bottom w:val="single" w:sz="24" w:space="24" w:color="FF0000"/>
        <w:right w:val="single" w:sz="24" w:space="24" w:color="FF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heltenhm BT">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7F7032"/>
    <w:multiLevelType w:val="hybridMultilevel"/>
    <w:tmpl w:val="22544F8C"/>
    <w:lvl w:ilvl="0" w:tplc="23FE1E9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02F9A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E039A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3AC036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04F06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0E617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F84D94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CE48A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F6E45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A9757F7"/>
    <w:multiLevelType w:val="hybridMultilevel"/>
    <w:tmpl w:val="E3F23D1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8D6A7F-669D-4D56-A120-7641B0CD8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6" w:line="268" w:lineRule="auto"/>
      <w:ind w:left="10" w:hanging="10"/>
    </w:pPr>
    <w:rPr>
      <w:rFonts w:ascii="Trebuchet MS" w:eastAsia="Trebuchet MS" w:hAnsi="Trebuchet MS" w:cs="Trebuchet MS"/>
      <w:color w:val="000000"/>
      <w:sz w:val="24"/>
      <w:lang w:eastAsia="en-GB"/>
    </w:rPr>
  </w:style>
  <w:style w:type="paragraph" w:styleId="Heading2">
    <w:name w:val="heading 2"/>
    <w:next w:val="Normal"/>
    <w:link w:val="Heading2Char"/>
    <w:uiPriority w:val="9"/>
    <w:unhideWhenUsed/>
    <w:qFormat/>
    <w:pPr>
      <w:keepNext/>
      <w:keepLines/>
      <w:spacing w:after="17"/>
      <w:ind w:left="10" w:hanging="10"/>
      <w:outlineLvl w:val="1"/>
    </w:pPr>
    <w:rPr>
      <w:rFonts w:ascii="Trebuchet MS" w:eastAsia="Trebuchet MS" w:hAnsi="Trebuchet MS" w:cs="Trebuchet MS"/>
      <w:b/>
      <w:color w:val="4F81BD"/>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rebuchet MS" w:eastAsia="Trebuchet MS" w:hAnsi="Trebuchet MS" w:cs="Trebuchet MS"/>
      <w:b/>
      <w:color w:val="4F81BD"/>
      <w:sz w:val="24"/>
      <w:lang w:eastAsia="en-GB"/>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co.uk" TargetMode="Externa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969</TotalTime>
  <Pages>4</Pages>
  <Words>595</Words>
  <Characters>3396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St Clares Catholic Primary School</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Green</dc:creator>
  <cp:keywords/>
  <dc:description/>
  <cp:lastModifiedBy>Melanie</cp:lastModifiedBy>
  <cp:revision>3</cp:revision>
  <dcterms:created xsi:type="dcterms:W3CDTF">2025-10-23T15:27:00Z</dcterms:created>
  <dcterms:modified xsi:type="dcterms:W3CDTF">2025-10-24T07:41:00Z</dcterms:modified>
</cp:coreProperties>
</file>