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heme="minorHAnsi" w:eastAsiaTheme="minorHAnsi" w:hAnsiTheme="minorHAnsi" w:cstheme="minorBidi"/>
          <w:b/>
          <w:color w:val="auto"/>
          <w:sz w:val="32"/>
          <w:szCs w:val="32"/>
          <w:u w:val="single"/>
          <w:lang w:eastAsia="en-US"/>
        </w:rPr>
      </w:pPr>
    </w:p>
    <w:tbl>
      <w:tblPr>
        <w:tblW w:w="0" w:type="auto"/>
        <w:tblLook w:val="04A0" w:firstRow="1" w:lastRow="0" w:firstColumn="1" w:lastColumn="0" w:noHBand="0" w:noVBand="1"/>
      </w:tblPr>
      <w:tblGrid>
        <w:gridCol w:w="9393"/>
      </w:tblGrid>
      <w:tr>
        <w:tc>
          <w:tcPr>
            <w:tcW w:w="10425" w:type="dxa"/>
            <w:shd w:val="clear" w:color="auto" w:fill="auto"/>
          </w:tcPr>
          <w:tbl>
            <w:tblPr>
              <w:tblW w:w="16019" w:type="dxa"/>
              <w:tblLook w:val="0000" w:firstRow="0" w:lastRow="0" w:firstColumn="0" w:lastColumn="0" w:noHBand="0" w:noVBand="0"/>
            </w:tblPr>
            <w:tblGrid>
              <w:gridCol w:w="9097"/>
              <w:gridCol w:w="5074"/>
              <w:gridCol w:w="264"/>
              <w:gridCol w:w="1584"/>
            </w:tblGrid>
            <w:tr>
              <w:tc>
                <w:tcPr>
                  <w:tcW w:w="9097" w:type="dxa"/>
                </w:tcPr>
                <w:p>
                  <w:pPr>
                    <w:spacing w:after="240" w:line="360" w:lineRule="exact"/>
                    <w:jc w:val="center"/>
                    <w:rPr>
                      <w:rFonts w:ascii="Times New Roman" w:eastAsia="Times New Roman" w:hAnsi="Times New Roman" w:cs="Times New Roman"/>
                      <w:sz w:val="24"/>
                      <w:szCs w:val="24"/>
                      <w:lang w:eastAsia="en-US"/>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212725</wp:posOffset>
                            </wp:positionH>
                            <wp:positionV relativeFrom="paragraph">
                              <wp:posOffset>-5744210</wp:posOffset>
                            </wp:positionV>
                            <wp:extent cx="5762625" cy="2362835"/>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2362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before="600"/>
                                          <w:rPr>
                                            <w:rFonts w:ascii="Arial" w:hAnsi="Arial" w:cs="Arial"/>
                                            <w:b/>
                                            <w:color w:val="FFFFFF"/>
                                            <w:sz w:val="72"/>
                                            <w:szCs w:val="72"/>
                                          </w:rPr>
                                        </w:pPr>
                                        <w:r>
                                          <w:rPr>
                                            <w:rFonts w:ascii="Arial" w:hAnsi="Arial" w:cs="Arial"/>
                                            <w:b/>
                                            <w:color w:val="FFFFFF"/>
                                            <w:sz w:val="72"/>
                                            <w:szCs w:val="72"/>
                                          </w:rPr>
                                          <w:t>Equality and Diversity in Employment Policy</w:t>
                                        </w:r>
                                      </w:p>
                                      <w:p>
                                        <w:pPr>
                                          <w:spacing w:before="600"/>
                                          <w:rPr>
                                            <w:rFonts w:ascii="Arial" w:hAnsi="Arial" w:cs="Arial"/>
                                            <w:b/>
                                            <w:color w:val="FFFFFF"/>
                                            <w:sz w:val="56"/>
                                            <w:szCs w:val="56"/>
                                          </w:rPr>
                                        </w:pPr>
                                        <w:r>
                                          <w:rPr>
                                            <w:rFonts w:ascii="Arial" w:hAnsi="Arial" w:cs="Arial"/>
                                            <w:b/>
                                            <w:color w:val="FFFFFF"/>
                                            <w:sz w:val="56"/>
                                            <w:szCs w:val="56"/>
                                          </w:rPr>
                                          <w:t>A model for Schools/Academies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16.75pt;margin-top:-452.3pt;width:453.75pt;height:18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HssgIAALEFAAAOAAAAZHJzL2Uyb0RvYy54bWysVG1vmzAQ/j5p/8Hyd8pLgQAqqdoQpknd&#10;Vq3bD3DABGtgM9sJaaf9951NkiatJk3b+GDZvvNz99w93NX1ru/QlkrFBM+xf+FhRHklasbXOf76&#10;pXQSjJQmvCad4DTHj1Th6/nbN1fjkNFAtKKrqUQAwlU2DjlutR4y11VVS3uiLsRAORgbIXui4SjX&#10;bi3JCOh95waeF7ujkPUgRUWVgttiMuK5xW8aWulPTaOoRl2OITdtV2nXlVnd+RXJ1pIMLav2aZC/&#10;yKInjEPQI1RBNEEbyV5B9aySQolGX1Sid0XTsIpaDsDG916weWjJQC0XKI4ajmVS/w+2+ri9l4jV&#10;0DuMOOmhRZ+haISvO4oSU55xUBl4PQz30hBUw52ovinExaIFL3ojpRhbSmpIyjf+7tkDc1DwFK3G&#10;D6IGdLLRwlZq18jeAEIN0M425PHYELrTqILLaBYHcRBhVIEtuIyD5DKyMUh2eD5Ipd9R0SOzybGE&#10;5C082d4pbdIh2cHFROOiZF1nu97xswtwnG4gODw1NpOGbeKP1EuXyTIJnTCIl07oFYVzUy5CJy79&#10;WVRcFotF4f80cf0wa1ldU27CHATlh3/WsL20JykcJaVEx2oDZ1JScr1adBJtCQi6tN++ICdu7nka&#10;tgjA5QUlPwi92yB1yjiZOWEZRk468xLH89PbNPbCNCzKc0p3jNN/p4TGHKcRNNXS+S03z36vuZGs&#10;ZxpGRsf6HCdHJ5IZDS55bVurCeum/UkpTPrPpYB2HxptFWtEOold71Y7QDHKXYn6EbQrBSgLpgfM&#10;Odi0Qj5hNMLMyLH6viGSYtS956D/1A9DM2TsIYxmARzkqWV1aiG8Aqgca4ym7UJPg2kzSLZuIZJv&#10;a8TFDfwzDbNqfs5q/6fBXLCk9jPMDJ7Ts/V6nrTzXwAAAP//AwBQSwMEFAAGAAgAAAAhAH58vJ/k&#10;AAAADAEAAA8AAABkcnMvZG93bnJldi54bWxMj8FKw0AQhu+C77CM4EXaTZumtDGbIgWxiFBMbc/b&#10;ZEyC2dk0u03i2zue9DgzH/98f7IZTSN67FxtScFsGoBAym1RU6ng4/A8WYFwXlOhG0uo4BsdbNLb&#10;m0THhR3oHfvMl4JDyMVaQeV9G0vp8gqNdlPbIvHt03ZGex67UhadHjjcNHIeBEtpdE38odItbivM&#10;v7KrUTDk+/50eHuR+4fTztJld9lmx1el7u/Gp0cQHkf/B8OvPqtDyk5ne6XCiUZBGEZMKpisg8US&#10;BBPrxYzbnXkVhfMIZJrI/yXSHwAAAP//AwBQSwECLQAUAAYACAAAACEAtoM4kv4AAADhAQAAEwAA&#10;AAAAAAAAAAAAAAAAAAAAW0NvbnRlbnRfVHlwZXNdLnhtbFBLAQItABQABgAIAAAAIQA4/SH/1gAA&#10;AJQBAAALAAAAAAAAAAAAAAAAAC8BAABfcmVscy8ucmVsc1BLAQItABQABgAIAAAAIQBDXnHssgIA&#10;ALEFAAAOAAAAAAAAAAAAAAAAAC4CAABkcnMvZTJvRG9jLnhtbFBLAQItABQABgAIAAAAIQB+fLyf&#10;5AAAAAwBAAAPAAAAAAAAAAAAAAAAAAwFAABkcnMvZG93bnJldi54bWxQSwUGAAAAAAQABADzAAAA&#10;HQYAAAAA&#10;" filled="f" stroked="f">
                            <v:textbox>
                              <w:txbxContent>
                                <w:p>
                                  <w:pPr>
                                    <w:spacing w:before="600"/>
                                    <w:rPr>
                                      <w:rFonts w:ascii="Arial" w:hAnsi="Arial" w:cs="Arial"/>
                                      <w:b/>
                                      <w:color w:val="FFFFFF"/>
                                      <w:sz w:val="72"/>
                                      <w:szCs w:val="72"/>
                                    </w:rPr>
                                  </w:pPr>
                                  <w:r>
                                    <w:rPr>
                                      <w:rFonts w:ascii="Arial" w:hAnsi="Arial" w:cs="Arial"/>
                                      <w:b/>
                                      <w:color w:val="FFFFFF"/>
                                      <w:sz w:val="72"/>
                                      <w:szCs w:val="72"/>
                                    </w:rPr>
                                    <w:t>Equality and Diversity in Employment Policy</w:t>
                                  </w:r>
                                </w:p>
                                <w:p>
                                  <w:pPr>
                                    <w:spacing w:before="600"/>
                                    <w:rPr>
                                      <w:rFonts w:ascii="Arial" w:hAnsi="Arial" w:cs="Arial"/>
                                      <w:b/>
                                      <w:color w:val="FFFFFF"/>
                                      <w:sz w:val="56"/>
                                      <w:szCs w:val="56"/>
                                    </w:rPr>
                                  </w:pPr>
                                  <w:r>
                                    <w:rPr>
                                      <w:rFonts w:ascii="Arial" w:hAnsi="Arial" w:cs="Arial"/>
                                      <w:b/>
                                      <w:color w:val="FFFFFF"/>
                                      <w:sz w:val="56"/>
                                      <w:szCs w:val="56"/>
                                    </w:rPr>
                                    <w:t>A model for Schools/Academies</w:t>
                                  </w:r>
                                </w:p>
                              </w:txbxContent>
                            </v:textbox>
                          </v:rect>
                        </w:pict>
                      </mc:Fallback>
                    </mc:AlternateContent>
                  </w:r>
                </w:p>
                <w:p>
                  <w:pPr>
                    <w:spacing w:after="0" w:line="240" w:lineRule="auto"/>
                    <w:jc w:val="center"/>
                    <w:rPr>
                      <w:rFonts w:ascii="Arial" w:eastAsia="Times New Roman" w:hAnsi="Arial" w:cs="Times New Roman"/>
                      <w:sz w:val="24"/>
                      <w:szCs w:val="24"/>
                    </w:rPr>
                  </w:pPr>
                </w:p>
                <w:p>
                  <w:pPr>
                    <w:spacing w:after="0" w:line="240" w:lineRule="auto"/>
                    <w:jc w:val="center"/>
                    <w:rPr>
                      <w:rFonts w:ascii="Arial" w:eastAsia="Times New Roman" w:hAnsi="Arial" w:cs="Times New Roman"/>
                      <w:sz w:val="24"/>
                      <w:szCs w:val="24"/>
                    </w:rPr>
                  </w:pPr>
                </w:p>
                <w:p>
                  <w:pPr>
                    <w:spacing w:after="0" w:line="240" w:lineRule="auto"/>
                    <w:jc w:val="center"/>
                    <w:rPr>
                      <w:rFonts w:ascii="Arial" w:eastAsia="Times New Roman" w:hAnsi="Arial" w:cs="Arial"/>
                      <w:b/>
                      <w:sz w:val="72"/>
                      <w:szCs w:val="72"/>
                    </w:rPr>
                  </w:pPr>
                  <w:r>
                    <w:rPr>
                      <w:rFonts w:ascii="Arial" w:eastAsia="Times New Roman" w:hAnsi="Arial" w:cs="Times New Roman"/>
                      <w:noProof/>
                      <w:sz w:val="24"/>
                      <w:szCs w:val="24"/>
                    </w:rPr>
                    <w:drawing>
                      <wp:anchor distT="0" distB="0" distL="114300" distR="114300" simplePos="0" relativeHeight="251660288" behindDoc="1" locked="0" layoutInCell="1" allowOverlap="1">
                        <wp:simplePos x="0" y="0"/>
                        <wp:positionH relativeFrom="column">
                          <wp:posOffset>3392805</wp:posOffset>
                        </wp:positionH>
                        <wp:positionV relativeFrom="paragraph">
                          <wp:posOffset>190500</wp:posOffset>
                        </wp:positionV>
                        <wp:extent cx="711200" cy="863600"/>
                        <wp:effectExtent l="0" t="0" r="0" b="0"/>
                        <wp:wrapTight wrapText="bothSides">
                          <wp:wrapPolygon edited="0">
                            <wp:start x="0" y="0"/>
                            <wp:lineTo x="0" y="20965"/>
                            <wp:lineTo x="20829" y="20965"/>
                            <wp:lineTo x="20829" y="0"/>
                            <wp:lineTo x="0" y="0"/>
                          </wp:wrapPolygon>
                        </wp:wrapTight>
                        <wp:docPr id="9" name="Picture 9" descr="st clar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 clares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1200" cy="8636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b/>
                      <w:noProof/>
                      <w:sz w:val="72"/>
                      <w:szCs w:val="72"/>
                    </w:rPr>
                    <w:drawing>
                      <wp:inline distT="0" distB="0" distL="0" distR="0">
                        <wp:extent cx="1266825" cy="1571625"/>
                        <wp:effectExtent l="0" t="0" r="0" b="0"/>
                        <wp:docPr id="2" name="Picture 2"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2020ROSARY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inline>
                    </w:drawing>
                  </w:r>
                </w:p>
                <w:p>
                  <w:pPr>
                    <w:spacing w:after="0" w:line="240" w:lineRule="auto"/>
                    <w:jc w:val="center"/>
                    <w:rPr>
                      <w:rFonts w:ascii="Arial" w:eastAsia="Times New Roman" w:hAnsi="Arial" w:cs="Arial"/>
                      <w:b/>
                      <w:sz w:val="72"/>
                      <w:szCs w:val="72"/>
                    </w:rPr>
                  </w:pPr>
                </w:p>
                <w:p>
                  <w:pPr>
                    <w:spacing w:after="0" w:line="240" w:lineRule="auto"/>
                    <w:jc w:val="center"/>
                    <w:rPr>
                      <w:rFonts w:ascii="Arial" w:eastAsia="Times New Roman" w:hAnsi="Arial" w:cs="Arial"/>
                      <w:b/>
                      <w:sz w:val="72"/>
                      <w:szCs w:val="72"/>
                    </w:rPr>
                  </w:pPr>
                </w:p>
                <w:p>
                  <w:pPr>
                    <w:spacing w:after="0" w:line="240" w:lineRule="auto"/>
                    <w:jc w:val="center"/>
                    <w:rPr>
                      <w:rFonts w:ascii="Cambria" w:eastAsia="Times New Roman" w:hAnsi="Cambria" w:cs="Arial"/>
                      <w:b/>
                      <w:sz w:val="72"/>
                      <w:szCs w:val="72"/>
                    </w:rPr>
                  </w:pPr>
                  <w:r>
                    <w:rPr>
                      <w:rFonts w:ascii="Cambria" w:eastAsia="Times New Roman" w:hAnsi="Cambria" w:cs="Arial"/>
                      <w:b/>
                      <w:sz w:val="72"/>
                      <w:szCs w:val="72"/>
                    </w:rPr>
                    <w:t>The Rosary Trust</w:t>
                  </w:r>
                </w:p>
                <w:p>
                  <w:pPr>
                    <w:spacing w:after="0" w:line="240" w:lineRule="auto"/>
                    <w:jc w:val="center"/>
                    <w:rPr>
                      <w:rFonts w:ascii="Cambria" w:eastAsia="Times New Roman" w:hAnsi="Cambria" w:cs="Arial"/>
                      <w:b/>
                      <w:sz w:val="72"/>
                      <w:szCs w:val="72"/>
                    </w:rPr>
                  </w:pPr>
                  <w:r>
                    <w:rPr>
                      <w:rFonts w:ascii="Cambria" w:eastAsia="Times New Roman" w:hAnsi="Cambria" w:cs="Arial"/>
                      <w:b/>
                      <w:sz w:val="72"/>
                      <w:szCs w:val="72"/>
                    </w:rPr>
                    <w:t>A Catholic Education Trust</w:t>
                  </w:r>
                </w:p>
                <w:p>
                  <w:pPr>
                    <w:spacing w:after="0" w:line="240" w:lineRule="auto"/>
                    <w:jc w:val="center"/>
                    <w:rPr>
                      <w:rFonts w:ascii="Cambria" w:eastAsia="Times New Roman" w:hAnsi="Cambria" w:cs="Arial"/>
                      <w:b/>
                      <w:sz w:val="72"/>
                      <w:szCs w:val="72"/>
                    </w:rPr>
                  </w:pPr>
                </w:p>
                <w:p>
                  <w:pPr>
                    <w:spacing w:after="0" w:line="240" w:lineRule="auto"/>
                    <w:jc w:val="center"/>
                    <w:rPr>
                      <w:rFonts w:ascii="Cambria" w:eastAsia="Times New Roman" w:hAnsi="Cambria" w:cs="Arial"/>
                      <w:b/>
                      <w:sz w:val="52"/>
                      <w:szCs w:val="52"/>
                    </w:rPr>
                  </w:pPr>
                  <w:r>
                    <w:rPr>
                      <w:rFonts w:ascii="Cambria" w:eastAsia="Times New Roman" w:hAnsi="Cambria" w:cs="Arial"/>
                      <w:b/>
                      <w:sz w:val="52"/>
                      <w:szCs w:val="52"/>
                    </w:rPr>
                    <w:t>St Clare’s Catholic Primary</w:t>
                  </w:r>
                </w:p>
                <w:p>
                  <w:pPr>
                    <w:spacing w:after="0" w:line="240" w:lineRule="auto"/>
                    <w:jc w:val="center"/>
                    <w:rPr>
                      <w:rFonts w:ascii="Cambria" w:eastAsia="Times New Roman" w:hAnsi="Cambria" w:cs="Arial"/>
                      <w:b/>
                      <w:sz w:val="56"/>
                      <w:szCs w:val="56"/>
                    </w:rPr>
                  </w:pPr>
                  <w:r>
                    <w:rPr>
                      <w:rFonts w:ascii="Cambria" w:eastAsia="Times New Roman" w:hAnsi="Cambria" w:cs="Arial"/>
                      <w:b/>
                      <w:sz w:val="52"/>
                      <w:szCs w:val="52"/>
                    </w:rPr>
                    <w:t>School and Nursery</w:t>
                  </w:r>
                </w:p>
                <w:p>
                  <w:pPr>
                    <w:spacing w:after="0" w:line="240" w:lineRule="auto"/>
                    <w:jc w:val="center"/>
                    <w:rPr>
                      <w:rFonts w:ascii="Gill Sans MT" w:eastAsia="Times New Roman" w:hAnsi="Gill Sans MT" w:cs="Times New Roman"/>
                      <w:sz w:val="72"/>
                      <w:szCs w:val="72"/>
                    </w:rPr>
                  </w:pPr>
                </w:p>
                <w:p>
                  <w:pPr>
                    <w:spacing w:after="0" w:line="240" w:lineRule="auto"/>
                    <w:jc w:val="center"/>
                    <w:rPr>
                      <w:rFonts w:ascii="Arial" w:eastAsia="Times New Roman" w:hAnsi="Arial" w:cs="Arial"/>
                      <w:b/>
                      <w:sz w:val="36"/>
                      <w:szCs w:val="36"/>
                      <w:u w:val="single"/>
                      <w:lang w:eastAsia="en-US"/>
                    </w:rPr>
                  </w:pPr>
                  <w:r>
                    <w:rPr>
                      <w:rFonts w:ascii="Arial" w:eastAsia="Times New Roman" w:hAnsi="Arial" w:cs="Arial"/>
                      <w:b/>
                      <w:sz w:val="36"/>
                      <w:szCs w:val="36"/>
                      <w:u w:val="single"/>
                      <w:lang w:eastAsia="en-US"/>
                    </w:rPr>
                    <w:t xml:space="preserve">Nursery </w:t>
                  </w:r>
                  <w:r>
                    <w:rPr>
                      <w:rFonts w:ascii="Arial" w:eastAsia="Times New Roman" w:hAnsi="Arial" w:cs="Arial"/>
                      <w:b/>
                      <w:sz w:val="36"/>
                      <w:szCs w:val="36"/>
                      <w:u w:val="single"/>
                      <w:lang w:eastAsia="en-US"/>
                    </w:rPr>
                    <w:t>Admissions</w:t>
                  </w:r>
                  <w:r>
                    <w:rPr>
                      <w:rFonts w:ascii="Arial" w:eastAsia="Times New Roman" w:hAnsi="Arial" w:cs="Arial"/>
                      <w:b/>
                      <w:sz w:val="36"/>
                      <w:szCs w:val="36"/>
                      <w:u w:val="single"/>
                      <w:lang w:eastAsia="en-US"/>
                    </w:rPr>
                    <w:t xml:space="preserve"> Policy</w:t>
                  </w:r>
                </w:p>
                <w:p>
                  <w:pPr>
                    <w:spacing w:after="0" w:line="240" w:lineRule="auto"/>
                    <w:jc w:val="center"/>
                    <w:rPr>
                      <w:rFonts w:ascii="Arial" w:eastAsia="Times New Roman" w:hAnsi="Arial" w:cs="Arial"/>
                      <w:b/>
                      <w:sz w:val="24"/>
                      <w:szCs w:val="24"/>
                    </w:rPr>
                  </w:pPr>
                </w:p>
                <w:p>
                  <w:pPr>
                    <w:spacing w:after="0" w:line="240" w:lineRule="auto"/>
                    <w:jc w:val="center"/>
                    <w:rPr>
                      <w:rFonts w:ascii="Arial" w:eastAsia="Times New Roman" w:hAnsi="Arial" w:cs="Arial"/>
                      <w:b/>
                      <w:sz w:val="24"/>
                      <w:szCs w:val="24"/>
                    </w:rPr>
                  </w:pPr>
                </w:p>
                <w:p>
                  <w:pPr>
                    <w:keepNext/>
                    <w:keepLines/>
                    <w:spacing w:before="480" w:after="0" w:line="276" w:lineRule="auto"/>
                    <w:jc w:val="center"/>
                    <w:rPr>
                      <w:rFonts w:ascii="Arial" w:eastAsia="MS Gothic" w:hAnsi="Arial" w:cs="Arial"/>
                      <w:b/>
                      <w:bCs/>
                      <w:sz w:val="32"/>
                      <w:szCs w:val="28"/>
                      <w:lang w:val="en-US" w:eastAsia="ja-JP"/>
                    </w:rPr>
                  </w:pPr>
                </w:p>
                <w:p>
                  <w:pPr>
                    <w:spacing w:after="200" w:line="276" w:lineRule="auto"/>
                    <w:jc w:val="center"/>
                    <w:rPr>
                      <w:rFonts w:ascii="Arial" w:hAnsi="Arial" w:cs="Arial"/>
                      <w:b/>
                      <w:lang w:val="en-US" w:eastAsia="en-US"/>
                    </w:rPr>
                  </w:pPr>
                </w:p>
                <w:p>
                  <w:pPr>
                    <w:spacing w:after="200" w:line="276" w:lineRule="auto"/>
                    <w:jc w:val="center"/>
                    <w:rPr>
                      <w:rFonts w:ascii="Arial" w:hAnsi="Arial" w:cs="Arial"/>
                      <w:b/>
                      <w:lang w:val="en-US" w:eastAsia="en-US"/>
                    </w:rPr>
                  </w:pPr>
                </w:p>
                <w:p>
                  <w:pPr>
                    <w:spacing w:after="0" w:line="240" w:lineRule="auto"/>
                    <w:jc w:val="center"/>
                    <w:rPr>
                      <w:rFonts w:ascii="Cheltenhm BT" w:eastAsia="Times New Roman" w:hAnsi="Cheltenhm BT" w:cs="Times New Roman"/>
                      <w:sz w:val="16"/>
                      <w:szCs w:val="20"/>
                      <w:lang w:eastAsia="en-US"/>
                    </w:rPr>
                  </w:pPr>
                </w:p>
              </w:tc>
              <w:tc>
                <w:tcPr>
                  <w:tcW w:w="5074" w:type="dxa"/>
                </w:tcPr>
                <w:p>
                  <w:pPr>
                    <w:spacing w:after="0" w:line="240" w:lineRule="auto"/>
                    <w:jc w:val="center"/>
                    <w:rPr>
                      <w:rFonts w:ascii="Cheltenhm BT" w:eastAsia="Times New Roman" w:hAnsi="Cheltenhm BT" w:cs="Times New Roman"/>
                      <w:b/>
                      <w:sz w:val="32"/>
                      <w:szCs w:val="32"/>
                      <w:lang w:eastAsia="en-US"/>
                    </w:rPr>
                  </w:pPr>
                </w:p>
              </w:tc>
              <w:tc>
                <w:tcPr>
                  <w:tcW w:w="264" w:type="dxa"/>
                  <w:tcBorders>
                    <w:left w:val="nil"/>
                  </w:tcBorders>
                </w:tcPr>
                <w:p>
                  <w:pPr>
                    <w:spacing w:after="0" w:line="240" w:lineRule="auto"/>
                    <w:rPr>
                      <w:rFonts w:ascii="Cheltenhm BT" w:eastAsia="Times New Roman" w:hAnsi="Cheltenhm BT" w:cs="Times New Roman"/>
                      <w:sz w:val="16"/>
                      <w:szCs w:val="20"/>
                      <w:lang w:eastAsia="en-US"/>
                    </w:rPr>
                  </w:pPr>
                </w:p>
              </w:tc>
              <w:tc>
                <w:tcPr>
                  <w:tcW w:w="1584" w:type="dxa"/>
                </w:tcPr>
                <w:p>
                  <w:pPr>
                    <w:spacing w:after="0" w:line="240" w:lineRule="auto"/>
                    <w:ind w:left="33" w:hanging="33"/>
                    <w:jc w:val="right"/>
                    <w:rPr>
                      <w:rFonts w:ascii="Cheltenhm BT" w:eastAsia="Times New Roman" w:hAnsi="Cheltenhm BT" w:cs="Times New Roman"/>
                      <w:sz w:val="20"/>
                      <w:szCs w:val="20"/>
                      <w:lang w:eastAsia="en-US"/>
                    </w:rPr>
                  </w:pPr>
                </w:p>
              </w:tc>
            </w:tr>
          </w:tbl>
          <w:p>
            <w:pPr>
              <w:spacing w:after="0" w:line="240" w:lineRule="auto"/>
              <w:rPr>
                <w:rFonts w:ascii="Times New Roman" w:eastAsia="Times New Roman" w:hAnsi="Times New Roman" w:cs="Times New Roman"/>
                <w:sz w:val="20"/>
                <w:szCs w:val="20"/>
                <w:lang w:eastAsia="en-US"/>
              </w:rPr>
            </w:pPr>
          </w:p>
        </w:tc>
      </w:tr>
    </w:tbl>
    <w:p>
      <w:pPr>
        <w:rPr>
          <w:rFonts w:asciiTheme="minorHAnsi" w:eastAsiaTheme="minorHAnsi" w:hAnsiTheme="minorHAnsi" w:cstheme="minorBidi"/>
          <w:b/>
          <w:color w:val="auto"/>
          <w:sz w:val="32"/>
          <w:szCs w:val="32"/>
          <w:u w:val="single"/>
          <w:lang w:eastAsia="en-US"/>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trPr>
          <w:jc w:val="center"/>
        </w:trPr>
        <w:tc>
          <w:tcPr>
            <w:tcW w:w="10065" w:type="dxa"/>
            <w:gridSpan w:val="2"/>
            <w:shd w:val="clear" w:color="auto" w:fill="00B0D3"/>
          </w:tcPr>
          <w:p>
            <w:pPr>
              <w:spacing w:after="200" w:line="360" w:lineRule="auto"/>
              <w:ind w:left="1440" w:hanging="720"/>
              <w:jc w:val="center"/>
              <w:rPr>
                <w:rFonts w:cs="Arial"/>
                <w:b/>
                <w:szCs w:val="24"/>
                <w:lang w:eastAsia="en-US"/>
              </w:rPr>
            </w:pPr>
            <w:r>
              <w:rPr>
                <w:rFonts w:cs="Arial"/>
                <w:b/>
                <w:szCs w:val="24"/>
                <w:lang w:eastAsia="en-US"/>
              </w:rPr>
              <w:t>Document Detail</w:t>
            </w:r>
          </w:p>
        </w:tc>
      </w:tr>
      <w:tr>
        <w:trPr>
          <w:trHeight w:val="651"/>
          <w:jc w:val="center"/>
        </w:trPr>
        <w:tc>
          <w:tcPr>
            <w:tcW w:w="2836" w:type="dxa"/>
          </w:tcPr>
          <w:p>
            <w:pPr>
              <w:spacing w:after="200" w:line="360" w:lineRule="auto"/>
              <w:ind w:right="-257"/>
              <w:rPr>
                <w:rFonts w:cs="Arial"/>
                <w:b/>
                <w:lang w:eastAsia="en-US"/>
              </w:rPr>
            </w:pPr>
            <w:r>
              <w:rPr>
                <w:rFonts w:cs="Arial"/>
                <w:b/>
                <w:lang w:eastAsia="en-US"/>
              </w:rPr>
              <w:t>Category:</w:t>
            </w:r>
          </w:p>
        </w:tc>
        <w:tc>
          <w:tcPr>
            <w:tcW w:w="7229" w:type="dxa"/>
          </w:tcPr>
          <w:p>
            <w:pPr>
              <w:spacing w:after="200" w:line="360" w:lineRule="auto"/>
              <w:rPr>
                <w:rFonts w:cs="Arial"/>
                <w:lang w:eastAsia="en-US"/>
              </w:rPr>
            </w:pPr>
            <w:r>
              <w:rPr>
                <w:rFonts w:cs="Arial"/>
                <w:lang w:eastAsia="en-US"/>
              </w:rPr>
              <w:t>Curriculum Management</w:t>
            </w:r>
          </w:p>
        </w:tc>
      </w:tr>
      <w:tr>
        <w:trPr>
          <w:jc w:val="center"/>
        </w:trPr>
        <w:tc>
          <w:tcPr>
            <w:tcW w:w="2836" w:type="dxa"/>
          </w:tcPr>
          <w:p>
            <w:pPr>
              <w:spacing w:after="200" w:line="360" w:lineRule="auto"/>
              <w:rPr>
                <w:rFonts w:cs="Arial"/>
                <w:b/>
                <w:lang w:eastAsia="en-US"/>
              </w:rPr>
            </w:pPr>
            <w:r>
              <w:rPr>
                <w:rFonts w:cs="Arial"/>
                <w:b/>
                <w:lang w:eastAsia="en-US"/>
              </w:rPr>
              <w:t>Authorised By:</w:t>
            </w:r>
          </w:p>
        </w:tc>
        <w:tc>
          <w:tcPr>
            <w:tcW w:w="7229" w:type="dxa"/>
          </w:tcPr>
          <w:p>
            <w:pPr>
              <w:spacing w:after="200" w:line="360" w:lineRule="auto"/>
              <w:rPr>
                <w:rFonts w:cs="Arial"/>
                <w:lang w:eastAsia="en-US"/>
              </w:rPr>
            </w:pPr>
            <w:r>
              <w:rPr>
                <w:rFonts w:cs="Arial"/>
                <w:lang w:eastAsia="en-US"/>
              </w:rPr>
              <w:t>Full Governing Body</w:t>
            </w:r>
          </w:p>
        </w:tc>
      </w:tr>
      <w:tr>
        <w:trPr>
          <w:jc w:val="center"/>
        </w:trPr>
        <w:tc>
          <w:tcPr>
            <w:tcW w:w="2836" w:type="dxa"/>
          </w:tcPr>
          <w:p>
            <w:pPr>
              <w:spacing w:after="200" w:line="360" w:lineRule="auto"/>
              <w:rPr>
                <w:rFonts w:cs="Arial"/>
                <w:b/>
                <w:lang w:eastAsia="en-US"/>
              </w:rPr>
            </w:pPr>
            <w:r>
              <w:rPr>
                <w:rFonts w:cs="Arial"/>
                <w:b/>
                <w:lang w:eastAsia="en-US"/>
              </w:rPr>
              <w:t>Status:</w:t>
            </w:r>
          </w:p>
        </w:tc>
        <w:tc>
          <w:tcPr>
            <w:tcW w:w="7229" w:type="dxa"/>
          </w:tcPr>
          <w:p>
            <w:pPr>
              <w:spacing w:after="200" w:line="360" w:lineRule="auto"/>
              <w:ind w:left="-2" w:hanging="2"/>
              <w:rPr>
                <w:rFonts w:cs="Arial"/>
                <w:lang w:eastAsia="en-US"/>
              </w:rPr>
            </w:pPr>
            <w:r>
              <w:rPr>
                <w:rFonts w:cs="Arial"/>
                <w:lang w:eastAsia="en-US"/>
              </w:rPr>
              <w:t xml:space="preserve">Approved </w:t>
            </w:r>
          </w:p>
        </w:tc>
      </w:tr>
      <w:tr>
        <w:trPr>
          <w:jc w:val="center"/>
        </w:trPr>
        <w:tc>
          <w:tcPr>
            <w:tcW w:w="2836" w:type="dxa"/>
          </w:tcPr>
          <w:p>
            <w:pPr>
              <w:spacing w:after="200" w:line="360" w:lineRule="auto"/>
              <w:rPr>
                <w:rFonts w:cs="Arial"/>
                <w:b/>
                <w:lang w:eastAsia="en-US"/>
              </w:rPr>
            </w:pPr>
            <w:r>
              <w:rPr>
                <w:rFonts w:cs="Arial"/>
                <w:b/>
                <w:lang w:eastAsia="en-US"/>
              </w:rPr>
              <w:t>Chair of Governors Signature</w:t>
            </w:r>
          </w:p>
        </w:tc>
        <w:tc>
          <w:tcPr>
            <w:tcW w:w="7229" w:type="dxa"/>
          </w:tcPr>
          <w:p>
            <w:pPr>
              <w:spacing w:after="200" w:line="360" w:lineRule="auto"/>
              <w:rPr>
                <w:rFonts w:cs="Arial"/>
                <w:lang w:eastAsia="en-US"/>
              </w:rPr>
            </w:pPr>
            <w:r>
              <w:rPr>
                <w:rFonts w:cs="Arial"/>
                <w:noProof/>
              </w:rPr>
              <w:drawing>
                <wp:inline distT="0" distB="0" distL="0" distR="0">
                  <wp:extent cx="3810000" cy="1059010"/>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87716" cy="1080611"/>
                          </a:xfrm>
                          <a:prstGeom prst="rect">
                            <a:avLst/>
                          </a:prstGeom>
                          <a:noFill/>
                          <a:ln>
                            <a:noFill/>
                          </a:ln>
                        </pic:spPr>
                      </pic:pic>
                    </a:graphicData>
                  </a:graphic>
                </wp:inline>
              </w:drawing>
            </w:r>
          </w:p>
        </w:tc>
      </w:tr>
      <w:tr>
        <w:trPr>
          <w:jc w:val="center"/>
        </w:trPr>
        <w:tc>
          <w:tcPr>
            <w:tcW w:w="2836" w:type="dxa"/>
          </w:tcPr>
          <w:p>
            <w:pPr>
              <w:spacing w:after="200" w:line="360" w:lineRule="auto"/>
              <w:rPr>
                <w:rFonts w:cs="Arial"/>
                <w:b/>
                <w:lang w:eastAsia="en-US"/>
              </w:rPr>
            </w:pPr>
            <w:r>
              <w:rPr>
                <w:rFonts w:cs="Arial"/>
                <w:b/>
                <w:lang w:eastAsia="en-US"/>
              </w:rPr>
              <w:t>Date Approved:</w:t>
            </w:r>
          </w:p>
        </w:tc>
        <w:tc>
          <w:tcPr>
            <w:tcW w:w="7229" w:type="dxa"/>
          </w:tcPr>
          <w:p>
            <w:pPr>
              <w:spacing w:after="200" w:line="360" w:lineRule="auto"/>
              <w:rPr>
                <w:rFonts w:cs="Arial"/>
                <w:lang w:eastAsia="en-US"/>
              </w:rPr>
            </w:pPr>
            <w:r>
              <w:rPr>
                <w:rFonts w:cs="Arial"/>
                <w:lang w:eastAsia="en-US"/>
              </w:rPr>
              <w:t>November 2025</w:t>
            </w:r>
          </w:p>
        </w:tc>
      </w:tr>
      <w:tr>
        <w:trPr>
          <w:jc w:val="center"/>
        </w:trPr>
        <w:tc>
          <w:tcPr>
            <w:tcW w:w="2836" w:type="dxa"/>
          </w:tcPr>
          <w:p>
            <w:pPr>
              <w:spacing w:after="200" w:line="360" w:lineRule="auto"/>
              <w:rPr>
                <w:rFonts w:cs="Arial"/>
                <w:b/>
                <w:lang w:eastAsia="en-US"/>
              </w:rPr>
            </w:pPr>
            <w:r>
              <w:rPr>
                <w:rFonts w:cs="Arial"/>
                <w:b/>
                <w:lang w:eastAsia="en-US"/>
              </w:rPr>
              <w:t>Issue Date:</w:t>
            </w:r>
          </w:p>
        </w:tc>
        <w:tc>
          <w:tcPr>
            <w:tcW w:w="7229" w:type="dxa"/>
          </w:tcPr>
          <w:p>
            <w:pPr>
              <w:spacing w:after="200" w:line="360" w:lineRule="auto"/>
              <w:rPr>
                <w:rFonts w:cs="Arial"/>
                <w:lang w:eastAsia="en-US"/>
              </w:rPr>
            </w:pPr>
            <w:r>
              <w:rPr>
                <w:rFonts w:cs="Arial"/>
                <w:lang w:eastAsia="en-US"/>
              </w:rPr>
              <w:t>November 2027</w:t>
            </w:r>
          </w:p>
        </w:tc>
      </w:tr>
    </w:tbl>
    <w:p>
      <w:pPr>
        <w:rPr>
          <w:rFonts w:asciiTheme="minorHAnsi" w:eastAsiaTheme="minorHAnsi" w:hAnsiTheme="minorHAnsi" w:cstheme="minorBidi"/>
          <w:b/>
          <w:color w:val="auto"/>
          <w:sz w:val="32"/>
          <w:szCs w:val="32"/>
          <w:u w:val="single"/>
          <w:lang w:eastAsia="en-US"/>
        </w:rPr>
      </w:pPr>
    </w:p>
    <w:p>
      <w:pPr>
        <w:rPr>
          <w:rFonts w:asciiTheme="minorHAnsi" w:eastAsiaTheme="minorHAnsi" w:hAnsiTheme="minorHAnsi" w:cstheme="minorBidi"/>
          <w:b/>
          <w:color w:val="auto"/>
          <w:sz w:val="32"/>
          <w:szCs w:val="32"/>
          <w:u w:val="single"/>
          <w:lang w:eastAsia="en-US"/>
        </w:rPr>
      </w:pPr>
      <w:r>
        <w:rPr>
          <w:rFonts w:asciiTheme="minorHAnsi" w:eastAsiaTheme="minorHAnsi" w:hAnsiTheme="minorHAnsi" w:cstheme="minorBidi"/>
          <w:b/>
          <w:color w:val="auto"/>
          <w:sz w:val="32"/>
          <w:szCs w:val="32"/>
          <w:u w:val="single"/>
          <w:lang w:eastAsia="en-US"/>
        </w:rPr>
        <w:br w:type="page"/>
      </w:r>
      <w:bookmarkStart w:id="0" w:name="_GoBack"/>
      <w:bookmarkEnd w:id="0"/>
    </w:p>
    <w:p>
      <w:pPr>
        <w:rPr>
          <w:b/>
        </w:rPr>
      </w:pPr>
    </w:p>
    <w:p>
      <w:pPr>
        <w:jc w:val="center"/>
        <w:rPr>
          <w:b/>
        </w:rPr>
      </w:pPr>
      <w:r>
        <w:rPr>
          <w:b/>
        </w:rPr>
        <w:t>ST. CLARE’S CATHOLIC PRIMARY SCHOOL NURSERY ADMISSIONS POLICY 2025-2026</w:t>
      </w:r>
    </w:p>
    <w:p>
      <w:pPr>
        <w:spacing w:after="209" w:line="268" w:lineRule="auto"/>
        <w:ind w:left="355" w:hanging="10"/>
      </w:pPr>
      <w:r>
        <w:t xml:space="preserve">St. Clare’s Catholic Primary School Nursery provides a high quality education, founded on Catholic principles, recognising the needs of each individual and valuing the contribution of our whole community. The nursery will serve all children in the local area at a Catholic School, Catholic doctrine and practice permeate every aspect of the school’s activity. It is essential that the Catholic character of the school’s education is fully supported by all families in the school. All applicants are therefore expected to give their full, unreserved and positive support for the aims and ethos of the school.  </w:t>
      </w:r>
    </w:p>
    <w:p>
      <w:pPr>
        <w:spacing w:after="209" w:line="268" w:lineRule="auto"/>
        <w:ind w:left="355" w:hanging="10"/>
      </w:pPr>
      <w:r>
        <w:t xml:space="preserve">The Published Admissions Number (PAN) for the Nursery class at St Clare’s is 30. The Governing Body has sole responsibility for admissions to this nursery and intends to admit 30 children in the school year which begins in September 2021.  </w:t>
      </w:r>
    </w:p>
    <w:p>
      <w:pPr>
        <w:spacing w:after="209" w:line="268" w:lineRule="auto"/>
        <w:ind w:left="355" w:hanging="10"/>
      </w:pPr>
      <w:r>
        <w:t xml:space="preserve">Applications are welcome from families whose children are age 2 or above before the statutory school age.  </w:t>
      </w:r>
    </w:p>
    <w:p>
      <w:pPr>
        <w:spacing w:after="209" w:line="268" w:lineRule="auto"/>
        <w:ind w:left="355" w:hanging="10"/>
      </w:pPr>
      <w:r>
        <w:t xml:space="preserve">Whenever there are more applications than places available, priority will always be given to Catholic applicants in accordance with the criteria listed below.  </w:t>
      </w:r>
    </w:p>
    <w:p>
      <w:pPr>
        <w:spacing w:after="209" w:line="268" w:lineRule="auto"/>
        <w:ind w:left="355" w:hanging="10"/>
      </w:pPr>
      <w:r>
        <w:t xml:space="preserve">In this Policy, applicant refers to the person making an application on behalf of a child; candidate refers to the child on whose behalf the application is being made.  </w:t>
      </w:r>
    </w:p>
    <w:p>
      <w:pPr>
        <w:spacing w:after="200" w:line="275" w:lineRule="auto"/>
        <w:ind w:left="360"/>
      </w:pPr>
      <w:r>
        <w:rPr>
          <w:b/>
        </w:rPr>
        <w:t>A place in the Nursery class does not automatically guarantee your child a place in the Reception class for the following year. A new application must be made for Reception class for the September following a child’s 4</w:t>
      </w:r>
      <w:r>
        <w:rPr>
          <w:b/>
          <w:vertAlign w:val="superscript"/>
        </w:rPr>
        <w:t>th</w:t>
      </w:r>
      <w:r>
        <w:rPr>
          <w:b/>
        </w:rPr>
        <w:t xml:space="preserve"> birthday. </w:t>
      </w:r>
    </w:p>
    <w:p>
      <w:pPr>
        <w:spacing w:after="209" w:line="268" w:lineRule="auto"/>
        <w:ind w:left="355" w:hanging="10"/>
      </w:pPr>
      <w:r>
        <w:t xml:space="preserve">OVERSUBSCRIPTION CRITERIA  </w:t>
      </w:r>
    </w:p>
    <w:p>
      <w:pPr>
        <w:spacing w:after="209" w:line="268" w:lineRule="auto"/>
        <w:ind w:left="355" w:hanging="10"/>
      </w:pPr>
      <w:r>
        <w:t xml:space="preserve">Where there are more applications than the number of places available, places will be offered according to the following order of priority: -  </w:t>
      </w:r>
    </w:p>
    <w:p>
      <w:pPr>
        <w:shd w:val="clear" w:color="auto" w:fill="86B436"/>
        <w:spacing w:after="4" w:line="267" w:lineRule="auto"/>
        <w:ind w:left="355" w:hanging="10"/>
        <w:jc w:val="both"/>
      </w:pPr>
      <w:r>
        <w:rPr>
          <w:rFonts w:ascii="Cambria" w:eastAsia="Cambria" w:hAnsi="Cambria" w:cs="Cambria"/>
          <w:b/>
          <w:color w:val="285216"/>
          <w:sz w:val="26"/>
          <w:u w:val="single" w:color="285216"/>
        </w:rPr>
        <w:t>CATEGORY 1</w:t>
      </w:r>
      <w:r>
        <w:rPr>
          <w:rFonts w:ascii="Candara" w:eastAsia="Candara" w:hAnsi="Candara" w:cs="Candara"/>
          <w:color w:val="285216"/>
          <w:sz w:val="23"/>
        </w:rPr>
        <w:t xml:space="preserve"> Looked after children, or a child who was previously looked after but immediately after being looked after, became subject to an adoption, residence or special guardianship order, from Catholic</w:t>
      </w:r>
      <w:r>
        <w:rPr>
          <w:rFonts w:ascii="Candara" w:eastAsia="Candara" w:hAnsi="Candara" w:cs="Candara"/>
          <w:color w:val="285216"/>
          <w:sz w:val="17"/>
          <w:vertAlign w:val="superscript"/>
        </w:rPr>
        <w:t>1</w:t>
      </w:r>
      <w:r>
        <w:rPr>
          <w:rFonts w:ascii="Candara" w:eastAsia="Candara" w:hAnsi="Candara" w:cs="Candara"/>
          <w:color w:val="285216"/>
          <w:sz w:val="23"/>
        </w:rPr>
        <w:t xml:space="preserve"> families.</w:t>
      </w:r>
      <w:r>
        <w:rPr>
          <w:rFonts w:ascii="Arial" w:eastAsia="Arial" w:hAnsi="Arial" w:cs="Arial"/>
          <w:color w:val="285216"/>
          <w:sz w:val="23"/>
        </w:rPr>
        <w:t xml:space="preserve"> </w:t>
      </w:r>
    </w:p>
    <w:p>
      <w:pPr>
        <w:shd w:val="clear" w:color="auto" w:fill="86B436"/>
        <w:spacing w:after="6"/>
        <w:ind w:left="345"/>
      </w:pPr>
      <w:r>
        <w:rPr>
          <w:rFonts w:ascii="Arial" w:eastAsia="Arial" w:hAnsi="Arial" w:cs="Arial"/>
          <w:color w:val="285216"/>
          <w:sz w:val="23"/>
        </w:rPr>
        <w:t xml:space="preserve">  </w:t>
      </w:r>
    </w:p>
    <w:p>
      <w:pPr>
        <w:shd w:val="clear" w:color="auto" w:fill="86B436"/>
        <w:spacing w:after="4" w:line="267" w:lineRule="auto"/>
        <w:ind w:left="355" w:hanging="10"/>
        <w:jc w:val="both"/>
      </w:pPr>
      <w:r>
        <w:rPr>
          <w:rFonts w:ascii="Cambria" w:eastAsia="Cambria" w:hAnsi="Cambria" w:cs="Cambria"/>
          <w:b/>
          <w:color w:val="285216"/>
          <w:sz w:val="26"/>
          <w:u w:val="single" w:color="285216"/>
        </w:rPr>
        <w:t>CATEGORY 2</w:t>
      </w:r>
      <w:r>
        <w:rPr>
          <w:rFonts w:ascii="Candara" w:eastAsia="Candara" w:hAnsi="Candara" w:cs="Candara"/>
          <w:color w:val="285216"/>
          <w:sz w:val="23"/>
        </w:rPr>
        <w:t xml:space="preserve"> Baptised Catholic</w:t>
      </w:r>
      <w:r>
        <w:rPr>
          <w:rFonts w:ascii="Candara" w:eastAsia="Candara" w:hAnsi="Candara" w:cs="Candara"/>
          <w:color w:val="285216"/>
          <w:sz w:val="17"/>
          <w:vertAlign w:val="superscript"/>
        </w:rPr>
        <w:t>1</w:t>
      </w:r>
      <w:r>
        <w:rPr>
          <w:rFonts w:ascii="Candara" w:eastAsia="Candara" w:hAnsi="Candara" w:cs="Candara"/>
          <w:color w:val="285216"/>
          <w:sz w:val="23"/>
        </w:rPr>
        <w:t xml:space="preserve"> children resident in the Parish of Our Lady of Light </w:t>
      </w:r>
    </w:p>
    <w:p>
      <w:pPr>
        <w:shd w:val="clear" w:color="auto" w:fill="86B436"/>
        <w:spacing w:after="4" w:line="267" w:lineRule="auto"/>
        <w:ind w:left="355" w:hanging="10"/>
        <w:jc w:val="both"/>
      </w:pPr>
      <w:r>
        <w:rPr>
          <w:rFonts w:ascii="Candara" w:eastAsia="Candara" w:hAnsi="Candara" w:cs="Candara"/>
          <w:color w:val="285216"/>
          <w:sz w:val="23"/>
        </w:rPr>
        <w:t>(Clacton on Sea), and adjoining Parishes of St Sabina's (</w:t>
      </w:r>
      <w:proofErr w:type="spellStart"/>
      <w:proofErr w:type="gramStart"/>
      <w:r>
        <w:rPr>
          <w:rFonts w:ascii="Candara" w:eastAsia="Candara" w:hAnsi="Candara" w:cs="Candara"/>
          <w:color w:val="285216"/>
          <w:sz w:val="23"/>
        </w:rPr>
        <w:t>Brightlingsea</w:t>
      </w:r>
      <w:proofErr w:type="spellEnd"/>
      <w:r>
        <w:rPr>
          <w:rFonts w:ascii="Candara" w:eastAsia="Candara" w:hAnsi="Candara" w:cs="Candara"/>
          <w:color w:val="285216"/>
          <w:sz w:val="23"/>
        </w:rPr>
        <w:t xml:space="preserve"> )</w:t>
      </w:r>
      <w:proofErr w:type="gramEnd"/>
      <w:r>
        <w:rPr>
          <w:rFonts w:ascii="Candara" w:eastAsia="Candara" w:hAnsi="Candara" w:cs="Candara"/>
          <w:color w:val="285216"/>
          <w:sz w:val="23"/>
        </w:rPr>
        <w:t xml:space="preserve"> and Sacred Heart and </w:t>
      </w:r>
    </w:p>
    <w:p>
      <w:pPr>
        <w:shd w:val="clear" w:color="auto" w:fill="86B436"/>
        <w:spacing w:after="4" w:line="267" w:lineRule="auto"/>
        <w:ind w:left="355" w:hanging="10"/>
        <w:jc w:val="both"/>
      </w:pPr>
      <w:r>
        <w:rPr>
          <w:rFonts w:ascii="Candara" w:eastAsia="Candara" w:hAnsi="Candara" w:cs="Candara"/>
          <w:color w:val="285216"/>
          <w:sz w:val="23"/>
        </w:rPr>
        <w:t>St Francis (</w:t>
      </w:r>
      <w:proofErr w:type="spellStart"/>
      <w:r>
        <w:rPr>
          <w:rFonts w:ascii="Candara" w:eastAsia="Candara" w:hAnsi="Candara" w:cs="Candara"/>
          <w:color w:val="285216"/>
          <w:sz w:val="23"/>
        </w:rPr>
        <w:t>Frinton</w:t>
      </w:r>
      <w:proofErr w:type="spellEnd"/>
      <w:r>
        <w:rPr>
          <w:rFonts w:ascii="Candara" w:eastAsia="Candara" w:hAnsi="Candara" w:cs="Candara"/>
          <w:color w:val="285216"/>
          <w:sz w:val="23"/>
        </w:rPr>
        <w:t xml:space="preserve"> on Sea</w:t>
      </w:r>
      <w:proofErr w:type="gramStart"/>
      <w:r>
        <w:rPr>
          <w:rFonts w:ascii="Candara" w:eastAsia="Candara" w:hAnsi="Candara" w:cs="Candara"/>
          <w:color w:val="285216"/>
          <w:sz w:val="23"/>
        </w:rPr>
        <w:t>)</w:t>
      </w:r>
      <w:r>
        <w:rPr>
          <w:rFonts w:ascii="Candara" w:eastAsia="Candara" w:hAnsi="Candara" w:cs="Candara"/>
          <w:color w:val="285216"/>
          <w:sz w:val="17"/>
          <w:vertAlign w:val="superscript"/>
        </w:rPr>
        <w:t>2</w:t>
      </w:r>
      <w:proofErr w:type="gramEnd"/>
      <w:r>
        <w:rPr>
          <w:rFonts w:ascii="Candara" w:eastAsia="Candara" w:hAnsi="Candara" w:cs="Candara"/>
          <w:color w:val="285216"/>
          <w:sz w:val="23"/>
        </w:rPr>
        <w:t xml:space="preserve"> where one or both parents</w:t>
      </w:r>
      <w:r>
        <w:rPr>
          <w:rFonts w:ascii="Candara" w:eastAsia="Candara" w:hAnsi="Candara" w:cs="Candara"/>
          <w:color w:val="285216"/>
          <w:sz w:val="17"/>
          <w:vertAlign w:val="superscript"/>
        </w:rPr>
        <w:t>3</w:t>
      </w:r>
      <w:r>
        <w:rPr>
          <w:rFonts w:ascii="Candara" w:eastAsia="Candara" w:hAnsi="Candara" w:cs="Candara"/>
          <w:color w:val="285216"/>
          <w:sz w:val="23"/>
        </w:rPr>
        <w:t xml:space="preserve"> are known to be Practising Catholic</w:t>
      </w:r>
      <w:r>
        <w:rPr>
          <w:rFonts w:ascii="Candara" w:eastAsia="Candara" w:hAnsi="Candara" w:cs="Candara"/>
          <w:color w:val="285216"/>
          <w:sz w:val="17"/>
          <w:vertAlign w:val="superscript"/>
        </w:rPr>
        <w:t xml:space="preserve">4 </w:t>
      </w:r>
      <w:r>
        <w:rPr>
          <w:rFonts w:ascii="Candara" w:eastAsia="Candara" w:hAnsi="Candara" w:cs="Candara"/>
          <w:color w:val="285216"/>
          <w:sz w:val="23"/>
        </w:rPr>
        <w:t xml:space="preserve">as evidenced by  the Certificate of Catholic Practice </w:t>
      </w:r>
      <w:r>
        <w:rPr>
          <w:rFonts w:ascii="Candara" w:eastAsia="Candara" w:hAnsi="Candara" w:cs="Candara"/>
          <w:b/>
          <w:color w:val="285216"/>
          <w:sz w:val="23"/>
        </w:rPr>
        <w:t>*</w:t>
      </w:r>
      <w:r>
        <w:rPr>
          <w:rFonts w:ascii="Candara" w:eastAsia="Candara" w:hAnsi="Candara" w:cs="Candara"/>
          <w:color w:val="285216"/>
          <w:sz w:val="23"/>
        </w:rPr>
        <w:t xml:space="preserve">.  (This will be available from your Parish priest.) </w:t>
      </w:r>
      <w:r>
        <w:rPr>
          <w:rFonts w:ascii="Arial" w:eastAsia="Arial" w:hAnsi="Arial" w:cs="Arial"/>
          <w:color w:val="285216"/>
          <w:sz w:val="23"/>
        </w:rPr>
        <w:t xml:space="preserve"> </w:t>
      </w:r>
    </w:p>
    <w:p>
      <w:pPr>
        <w:shd w:val="clear" w:color="auto" w:fill="86B436"/>
        <w:spacing w:after="51"/>
        <w:ind w:left="345"/>
      </w:pPr>
      <w:r>
        <w:rPr>
          <w:rFonts w:ascii="Arial" w:eastAsia="Arial" w:hAnsi="Arial" w:cs="Arial"/>
          <w:color w:val="285216"/>
          <w:sz w:val="23"/>
        </w:rPr>
        <w:t xml:space="preserve">  </w:t>
      </w:r>
    </w:p>
    <w:p>
      <w:pPr>
        <w:shd w:val="clear" w:color="auto" w:fill="86B436"/>
        <w:spacing w:after="1" w:line="271" w:lineRule="auto"/>
        <w:ind w:left="355" w:hanging="10"/>
        <w:jc w:val="both"/>
      </w:pPr>
      <w:r>
        <w:rPr>
          <w:rFonts w:ascii="Cambria" w:eastAsia="Cambria" w:hAnsi="Cambria" w:cs="Cambria"/>
          <w:b/>
          <w:color w:val="285216"/>
          <w:sz w:val="26"/>
          <w:u w:val="single" w:color="285216"/>
        </w:rPr>
        <w:t>CATEGORY 3</w:t>
      </w:r>
      <w:r>
        <w:rPr>
          <w:rFonts w:ascii="Arial" w:eastAsia="Arial" w:hAnsi="Arial" w:cs="Arial"/>
          <w:color w:val="285216"/>
          <w:sz w:val="23"/>
        </w:rPr>
        <w:t xml:space="preserve"> </w:t>
      </w:r>
      <w:r>
        <w:rPr>
          <w:rFonts w:ascii="Candara" w:eastAsia="Candara" w:hAnsi="Candara" w:cs="Candara"/>
          <w:color w:val="285216"/>
          <w:sz w:val="24"/>
        </w:rPr>
        <w:t>Baptised Catholic</w:t>
      </w:r>
      <w:r>
        <w:rPr>
          <w:rFonts w:ascii="Candara" w:eastAsia="Candara" w:hAnsi="Candara" w:cs="Candara"/>
          <w:color w:val="285216"/>
          <w:sz w:val="18"/>
          <w:vertAlign w:val="superscript"/>
        </w:rPr>
        <w:t>1</w:t>
      </w:r>
      <w:r>
        <w:rPr>
          <w:rFonts w:ascii="Candara" w:eastAsia="Candara" w:hAnsi="Candara" w:cs="Candara"/>
          <w:color w:val="285216"/>
          <w:sz w:val="24"/>
        </w:rPr>
        <w:t xml:space="preserve"> children resident in the Parishes of Our Lady of Light </w:t>
      </w:r>
    </w:p>
    <w:p>
      <w:pPr>
        <w:shd w:val="clear" w:color="auto" w:fill="86B436"/>
        <w:spacing w:after="1" w:line="271" w:lineRule="auto"/>
        <w:ind w:left="355" w:hanging="10"/>
        <w:jc w:val="both"/>
      </w:pPr>
      <w:r>
        <w:rPr>
          <w:rFonts w:ascii="Candara" w:eastAsia="Candara" w:hAnsi="Candara" w:cs="Candara"/>
          <w:color w:val="285216"/>
          <w:sz w:val="24"/>
        </w:rPr>
        <w:t>(Clacton on Sea), St Sabina's (</w:t>
      </w:r>
      <w:proofErr w:type="spellStart"/>
      <w:proofErr w:type="gramStart"/>
      <w:r>
        <w:rPr>
          <w:rFonts w:ascii="Candara" w:eastAsia="Candara" w:hAnsi="Candara" w:cs="Candara"/>
          <w:color w:val="285216"/>
          <w:sz w:val="24"/>
        </w:rPr>
        <w:t>Brightlingsea</w:t>
      </w:r>
      <w:proofErr w:type="spellEnd"/>
      <w:r>
        <w:rPr>
          <w:rFonts w:ascii="Candara" w:eastAsia="Candara" w:hAnsi="Candara" w:cs="Candara"/>
          <w:color w:val="285216"/>
          <w:sz w:val="24"/>
        </w:rPr>
        <w:t xml:space="preserve"> )</w:t>
      </w:r>
      <w:proofErr w:type="gramEnd"/>
      <w:r>
        <w:rPr>
          <w:rFonts w:ascii="Candara" w:eastAsia="Candara" w:hAnsi="Candara" w:cs="Candara"/>
          <w:color w:val="285216"/>
          <w:sz w:val="24"/>
        </w:rPr>
        <w:t xml:space="preserve"> and Sacred Heart and St Francis (</w:t>
      </w:r>
      <w:proofErr w:type="spellStart"/>
      <w:r>
        <w:rPr>
          <w:rFonts w:ascii="Candara" w:eastAsia="Candara" w:hAnsi="Candara" w:cs="Candara"/>
          <w:color w:val="285216"/>
          <w:sz w:val="24"/>
        </w:rPr>
        <w:t>Frinton</w:t>
      </w:r>
      <w:proofErr w:type="spellEnd"/>
      <w:r>
        <w:rPr>
          <w:rFonts w:ascii="Candara" w:eastAsia="Candara" w:hAnsi="Candara" w:cs="Candara"/>
          <w:color w:val="285216"/>
          <w:sz w:val="24"/>
        </w:rPr>
        <w:t xml:space="preserve"> on Sea).</w:t>
      </w:r>
      <w:r>
        <w:rPr>
          <w:rFonts w:ascii="Arial" w:eastAsia="Arial" w:hAnsi="Arial" w:cs="Arial"/>
          <w:color w:val="285216"/>
          <w:sz w:val="23"/>
        </w:rPr>
        <w:t xml:space="preserve"> </w:t>
      </w:r>
    </w:p>
    <w:p>
      <w:pPr>
        <w:shd w:val="clear" w:color="auto" w:fill="86B436"/>
        <w:spacing w:after="39"/>
        <w:ind w:left="345"/>
      </w:pPr>
      <w:r>
        <w:rPr>
          <w:rFonts w:ascii="Arial" w:eastAsia="Arial" w:hAnsi="Arial" w:cs="Arial"/>
          <w:color w:val="285216"/>
          <w:sz w:val="23"/>
        </w:rPr>
        <w:t xml:space="preserve">  </w:t>
      </w:r>
    </w:p>
    <w:p>
      <w:pPr>
        <w:shd w:val="clear" w:color="auto" w:fill="86B436"/>
        <w:spacing w:after="1" w:line="271" w:lineRule="auto"/>
        <w:ind w:left="355" w:hanging="10"/>
        <w:jc w:val="both"/>
      </w:pPr>
      <w:r>
        <w:rPr>
          <w:rFonts w:ascii="Cambria" w:eastAsia="Cambria" w:hAnsi="Cambria" w:cs="Cambria"/>
          <w:b/>
          <w:color w:val="285216"/>
          <w:sz w:val="26"/>
          <w:u w:val="single" w:color="285216"/>
        </w:rPr>
        <w:t>CATEGORY 4</w:t>
      </w:r>
      <w:r>
        <w:rPr>
          <w:rFonts w:ascii="Candara" w:eastAsia="Candara" w:hAnsi="Candara" w:cs="Candara"/>
          <w:color w:val="285216"/>
          <w:sz w:val="24"/>
        </w:rPr>
        <w:t xml:space="preserve"> Other Baptised Catholic</w:t>
      </w:r>
      <w:r>
        <w:rPr>
          <w:rFonts w:ascii="Candara" w:eastAsia="Candara" w:hAnsi="Candara" w:cs="Candara"/>
          <w:color w:val="285216"/>
          <w:sz w:val="18"/>
          <w:vertAlign w:val="superscript"/>
        </w:rPr>
        <w:t>1</w:t>
      </w:r>
      <w:r>
        <w:rPr>
          <w:rFonts w:ascii="Candara" w:eastAsia="Candara" w:hAnsi="Candara" w:cs="Candara"/>
          <w:color w:val="285216"/>
          <w:sz w:val="24"/>
        </w:rPr>
        <w:t xml:space="preserve"> children.</w:t>
      </w:r>
      <w:r>
        <w:rPr>
          <w:rFonts w:ascii="Arial" w:eastAsia="Arial" w:hAnsi="Arial" w:cs="Arial"/>
          <w:color w:val="285216"/>
          <w:sz w:val="23"/>
        </w:rPr>
        <w:t xml:space="preserve"> </w:t>
      </w:r>
    </w:p>
    <w:p>
      <w:pPr>
        <w:shd w:val="clear" w:color="auto" w:fill="86B436"/>
        <w:spacing w:after="0"/>
        <w:ind w:left="345"/>
      </w:pPr>
      <w:r>
        <w:rPr>
          <w:rFonts w:ascii="Arial" w:eastAsia="Arial" w:hAnsi="Arial" w:cs="Arial"/>
          <w:color w:val="285216"/>
          <w:sz w:val="23"/>
        </w:rPr>
        <w:t xml:space="preserve">  </w:t>
      </w:r>
    </w:p>
    <w:p>
      <w:pPr>
        <w:shd w:val="clear" w:color="auto" w:fill="86B436"/>
        <w:spacing w:after="1" w:line="271" w:lineRule="auto"/>
        <w:ind w:left="355" w:hanging="10"/>
        <w:jc w:val="both"/>
      </w:pPr>
      <w:r>
        <w:rPr>
          <w:rFonts w:ascii="Cambria" w:eastAsia="Cambria" w:hAnsi="Cambria" w:cs="Cambria"/>
          <w:b/>
          <w:color w:val="285216"/>
          <w:sz w:val="26"/>
          <w:u w:val="single" w:color="285216"/>
        </w:rPr>
        <w:lastRenderedPageBreak/>
        <w:t>CATEGORY 5</w:t>
      </w:r>
      <w:r>
        <w:rPr>
          <w:rFonts w:ascii="Arial" w:eastAsia="Arial" w:hAnsi="Arial" w:cs="Arial"/>
          <w:color w:val="285216"/>
          <w:sz w:val="23"/>
        </w:rPr>
        <w:t xml:space="preserve"> </w:t>
      </w:r>
      <w:r>
        <w:rPr>
          <w:rFonts w:ascii="Candara" w:eastAsia="Candara" w:hAnsi="Candara" w:cs="Candara"/>
          <w:color w:val="285216"/>
          <w:sz w:val="24"/>
        </w:rPr>
        <w:t>Other looked after children or a child who was previously looked after but immediately after being looked after, became subject to an adoption, residence or special guardianship order.</w:t>
      </w:r>
      <w:r>
        <w:rPr>
          <w:rFonts w:ascii="Arial" w:eastAsia="Arial" w:hAnsi="Arial" w:cs="Arial"/>
          <w:color w:val="285216"/>
          <w:sz w:val="23"/>
        </w:rPr>
        <w:t xml:space="preserve"> </w:t>
      </w:r>
    </w:p>
    <w:p>
      <w:pPr>
        <w:shd w:val="clear" w:color="auto" w:fill="86B436"/>
        <w:spacing w:after="55"/>
        <w:ind w:left="345"/>
      </w:pPr>
      <w:r>
        <w:rPr>
          <w:rFonts w:ascii="Arial" w:eastAsia="Arial" w:hAnsi="Arial" w:cs="Arial"/>
          <w:color w:val="285216"/>
          <w:sz w:val="23"/>
        </w:rPr>
        <w:t xml:space="preserve">  </w:t>
      </w:r>
    </w:p>
    <w:p>
      <w:pPr>
        <w:shd w:val="clear" w:color="auto" w:fill="86B436"/>
        <w:spacing w:after="31" w:line="271" w:lineRule="auto"/>
        <w:ind w:left="355" w:hanging="10"/>
        <w:jc w:val="both"/>
      </w:pPr>
      <w:r>
        <w:rPr>
          <w:rFonts w:ascii="Cambria" w:eastAsia="Cambria" w:hAnsi="Cambria" w:cs="Cambria"/>
          <w:b/>
          <w:color w:val="285216"/>
          <w:sz w:val="26"/>
          <w:u w:val="single" w:color="285216"/>
        </w:rPr>
        <w:t>CATEGORY 6</w:t>
      </w:r>
      <w:r>
        <w:rPr>
          <w:rFonts w:ascii="Arial" w:eastAsia="Arial" w:hAnsi="Arial" w:cs="Arial"/>
          <w:color w:val="285216"/>
          <w:sz w:val="23"/>
        </w:rPr>
        <w:t xml:space="preserve"> </w:t>
      </w:r>
      <w:r>
        <w:rPr>
          <w:rFonts w:ascii="Candara" w:eastAsia="Candara" w:hAnsi="Candara" w:cs="Candara"/>
          <w:color w:val="285216"/>
          <w:sz w:val="24"/>
        </w:rPr>
        <w:t>Children from families with a commitment to other Christian churches as supported by a baptism certificate or letter from their Church leader.</w:t>
      </w:r>
      <w:r>
        <w:rPr>
          <w:rFonts w:ascii="Arial" w:eastAsia="Arial" w:hAnsi="Arial" w:cs="Arial"/>
          <w:color w:val="285216"/>
          <w:sz w:val="23"/>
        </w:rPr>
        <w:t xml:space="preserve"> </w:t>
      </w:r>
    </w:p>
    <w:p>
      <w:pPr>
        <w:shd w:val="clear" w:color="auto" w:fill="86B436"/>
        <w:spacing w:after="48"/>
        <w:ind w:left="345"/>
      </w:pPr>
      <w:r>
        <w:rPr>
          <w:rFonts w:ascii="Arial" w:eastAsia="Arial" w:hAnsi="Arial" w:cs="Arial"/>
          <w:color w:val="285216"/>
          <w:sz w:val="23"/>
        </w:rPr>
        <w:t xml:space="preserve">  </w:t>
      </w:r>
    </w:p>
    <w:p>
      <w:pPr>
        <w:shd w:val="clear" w:color="auto" w:fill="86B436"/>
        <w:spacing w:after="1" w:line="271" w:lineRule="auto"/>
        <w:ind w:left="355" w:hanging="10"/>
        <w:jc w:val="both"/>
      </w:pPr>
      <w:r>
        <w:rPr>
          <w:rFonts w:ascii="Cambria" w:eastAsia="Cambria" w:hAnsi="Cambria" w:cs="Cambria"/>
          <w:b/>
          <w:color w:val="285216"/>
          <w:sz w:val="26"/>
          <w:u w:val="single" w:color="285216"/>
        </w:rPr>
        <w:t>CATEGORY 7</w:t>
      </w:r>
      <w:r>
        <w:rPr>
          <w:rFonts w:ascii="Candara" w:eastAsia="Candara" w:hAnsi="Candara" w:cs="Candara"/>
          <w:color w:val="285216"/>
          <w:sz w:val="24"/>
        </w:rPr>
        <w:t xml:space="preserve"> Any other application will be considered if places remain.</w:t>
      </w:r>
      <w:r>
        <w:rPr>
          <w:rFonts w:ascii="Arial" w:eastAsia="Arial" w:hAnsi="Arial" w:cs="Arial"/>
          <w:color w:val="285216"/>
          <w:sz w:val="23"/>
        </w:rPr>
        <w:t xml:space="preserve"> </w:t>
      </w:r>
    </w:p>
    <w:p>
      <w:pPr>
        <w:shd w:val="clear" w:color="auto" w:fill="86B436"/>
        <w:spacing w:after="5"/>
        <w:ind w:left="345"/>
      </w:pPr>
      <w:r>
        <w:rPr>
          <w:rFonts w:ascii="Arial" w:eastAsia="Arial" w:hAnsi="Arial" w:cs="Arial"/>
          <w:color w:val="285216"/>
          <w:sz w:val="23"/>
        </w:rPr>
        <w:t xml:space="preserve">  </w:t>
      </w:r>
    </w:p>
    <w:p>
      <w:pPr>
        <w:numPr>
          <w:ilvl w:val="0"/>
          <w:numId w:val="1"/>
        </w:numPr>
        <w:shd w:val="clear" w:color="auto" w:fill="86B436"/>
        <w:spacing w:after="1" w:line="271" w:lineRule="auto"/>
        <w:ind w:hanging="10"/>
        <w:jc w:val="both"/>
      </w:pPr>
      <w:r>
        <w:rPr>
          <w:rFonts w:ascii="Candara" w:eastAsia="Candara" w:hAnsi="Candara" w:cs="Candara"/>
          <w:color w:val="285216"/>
          <w:sz w:val="24"/>
        </w:rPr>
        <w:t>A Catholic means a child baptised, or received into the Church, by a Priest in a Church which is in communion with the See of Rome.</w:t>
      </w:r>
      <w:r>
        <w:rPr>
          <w:rFonts w:ascii="Arial" w:eastAsia="Arial" w:hAnsi="Arial" w:cs="Arial"/>
          <w:color w:val="285216"/>
          <w:sz w:val="23"/>
        </w:rPr>
        <w:t xml:space="preserve"> </w:t>
      </w:r>
    </w:p>
    <w:p>
      <w:pPr>
        <w:shd w:val="clear" w:color="auto" w:fill="86B436"/>
        <w:spacing w:after="5"/>
        <w:ind w:left="345"/>
      </w:pPr>
      <w:r>
        <w:rPr>
          <w:rFonts w:ascii="Arial" w:eastAsia="Arial" w:hAnsi="Arial" w:cs="Arial"/>
          <w:color w:val="285216"/>
          <w:sz w:val="23"/>
        </w:rPr>
        <w:t xml:space="preserve">  </w:t>
      </w:r>
    </w:p>
    <w:p>
      <w:pPr>
        <w:numPr>
          <w:ilvl w:val="0"/>
          <w:numId w:val="1"/>
        </w:numPr>
        <w:shd w:val="clear" w:color="auto" w:fill="86B436"/>
        <w:spacing w:after="1" w:line="271" w:lineRule="auto"/>
        <w:ind w:hanging="10"/>
        <w:jc w:val="both"/>
      </w:pPr>
      <w:r>
        <w:rPr>
          <w:rFonts w:ascii="Candara" w:eastAsia="Candara" w:hAnsi="Candara" w:cs="Candara"/>
          <w:color w:val="285216"/>
          <w:sz w:val="24"/>
        </w:rPr>
        <w:t>You are encouraged to contact the school or your Parish Priest if you are unsure of the Parish boundary.</w:t>
      </w:r>
      <w:r>
        <w:rPr>
          <w:rFonts w:ascii="Arial" w:eastAsia="Arial" w:hAnsi="Arial" w:cs="Arial"/>
          <w:color w:val="285216"/>
          <w:sz w:val="23"/>
        </w:rPr>
        <w:t xml:space="preserve"> </w:t>
      </w:r>
    </w:p>
    <w:p>
      <w:pPr>
        <w:shd w:val="clear" w:color="auto" w:fill="86B436"/>
        <w:spacing w:after="4"/>
        <w:ind w:left="345"/>
      </w:pPr>
      <w:r>
        <w:rPr>
          <w:rFonts w:ascii="Arial" w:eastAsia="Arial" w:hAnsi="Arial" w:cs="Arial"/>
          <w:color w:val="285216"/>
          <w:sz w:val="23"/>
        </w:rPr>
        <w:t xml:space="preserve">  </w:t>
      </w:r>
    </w:p>
    <w:p>
      <w:pPr>
        <w:numPr>
          <w:ilvl w:val="0"/>
          <w:numId w:val="1"/>
        </w:numPr>
        <w:shd w:val="clear" w:color="auto" w:fill="86B436"/>
        <w:spacing w:after="1" w:line="271" w:lineRule="auto"/>
        <w:ind w:hanging="10"/>
        <w:jc w:val="both"/>
      </w:pPr>
      <w:r>
        <w:rPr>
          <w:rFonts w:ascii="Candara" w:eastAsia="Candara" w:hAnsi="Candara" w:cs="Candara"/>
          <w:color w:val="285216"/>
          <w:sz w:val="24"/>
        </w:rPr>
        <w:t>Parents include guardians and carers or any person who has parental responsibility or care of the child.</w:t>
      </w:r>
      <w:r>
        <w:rPr>
          <w:rFonts w:ascii="Arial" w:eastAsia="Arial" w:hAnsi="Arial" w:cs="Arial"/>
          <w:color w:val="285216"/>
          <w:sz w:val="23"/>
        </w:rPr>
        <w:t xml:space="preserve"> </w:t>
      </w:r>
    </w:p>
    <w:p>
      <w:pPr>
        <w:shd w:val="clear" w:color="auto" w:fill="86B436"/>
        <w:spacing w:after="4"/>
        <w:ind w:left="345"/>
      </w:pPr>
      <w:r>
        <w:rPr>
          <w:rFonts w:ascii="Arial" w:eastAsia="Arial" w:hAnsi="Arial" w:cs="Arial"/>
          <w:color w:val="285216"/>
          <w:sz w:val="23"/>
        </w:rPr>
        <w:t xml:space="preserve">  </w:t>
      </w:r>
    </w:p>
    <w:p>
      <w:pPr>
        <w:numPr>
          <w:ilvl w:val="0"/>
          <w:numId w:val="1"/>
        </w:numPr>
        <w:shd w:val="clear" w:color="auto" w:fill="86B436"/>
        <w:spacing w:after="1" w:line="271" w:lineRule="auto"/>
        <w:ind w:hanging="10"/>
        <w:jc w:val="both"/>
      </w:pPr>
      <w:r>
        <w:rPr>
          <w:rFonts w:ascii="Candara" w:eastAsia="Candara" w:hAnsi="Candara" w:cs="Candara"/>
          <w:color w:val="285216"/>
          <w:sz w:val="24"/>
        </w:rPr>
        <w:t>In accordance with the Code of Canon Law practising means attending Mass on every Sunday and on Holy Days.</w:t>
      </w:r>
      <w:r>
        <w:rPr>
          <w:rFonts w:ascii="Arial" w:eastAsia="Arial" w:hAnsi="Arial" w:cs="Arial"/>
          <w:color w:val="285216"/>
          <w:sz w:val="23"/>
        </w:rPr>
        <w:t xml:space="preserve"> </w:t>
      </w:r>
    </w:p>
    <w:p>
      <w:pPr>
        <w:shd w:val="clear" w:color="auto" w:fill="86B436"/>
        <w:spacing w:after="47"/>
        <w:ind w:left="345"/>
      </w:pPr>
      <w:r>
        <w:rPr>
          <w:rFonts w:ascii="Arial" w:eastAsia="Arial" w:hAnsi="Arial" w:cs="Arial"/>
          <w:color w:val="285216"/>
          <w:sz w:val="23"/>
        </w:rPr>
        <w:t xml:space="preserve">  </w:t>
      </w:r>
    </w:p>
    <w:p>
      <w:pPr>
        <w:shd w:val="clear" w:color="auto" w:fill="86B436"/>
        <w:spacing w:after="1" w:line="271" w:lineRule="auto"/>
        <w:ind w:left="355" w:hanging="10"/>
        <w:jc w:val="both"/>
      </w:pPr>
      <w:r>
        <w:rPr>
          <w:rFonts w:ascii="Candara" w:eastAsia="Candara" w:hAnsi="Candara" w:cs="Candara"/>
          <w:color w:val="285216"/>
          <w:sz w:val="24"/>
        </w:rPr>
        <w:t>* Governors will give no preference to applicants where both parents are Catholics.</w:t>
      </w:r>
      <w:r>
        <w:rPr>
          <w:rFonts w:ascii="Arial" w:eastAsia="Arial" w:hAnsi="Arial" w:cs="Arial"/>
          <w:color w:val="285216"/>
          <w:sz w:val="23"/>
        </w:rPr>
        <w:t xml:space="preserve"> </w:t>
      </w:r>
    </w:p>
    <w:p>
      <w:pPr>
        <w:spacing w:after="250"/>
        <w:ind w:left="360"/>
      </w:pPr>
      <w:r>
        <w:t xml:space="preserve"> </w:t>
      </w:r>
    </w:p>
    <w:p>
      <w:pPr>
        <w:numPr>
          <w:ilvl w:val="0"/>
          <w:numId w:val="2"/>
        </w:numPr>
        <w:spacing w:after="1" w:line="285" w:lineRule="auto"/>
        <w:ind w:hanging="10"/>
      </w:pPr>
      <w:r>
        <w:rPr>
          <w:rFonts w:ascii="Candara" w:eastAsia="Candara" w:hAnsi="Candara" w:cs="Candara"/>
          <w:color w:val="285216"/>
          <w:sz w:val="24"/>
        </w:rPr>
        <w:t>A Catholic means a child baptised, or received into the Church, by a Priest in a Church which is in communion with the See of Rome.</w:t>
      </w:r>
      <w:r>
        <w:rPr>
          <w:rFonts w:ascii="Arial" w:eastAsia="Arial" w:hAnsi="Arial" w:cs="Arial"/>
          <w:color w:val="285216"/>
          <w:sz w:val="23"/>
        </w:rPr>
        <w:t xml:space="preserve"> </w:t>
      </w:r>
    </w:p>
    <w:p>
      <w:pPr>
        <w:spacing w:after="5"/>
        <w:ind w:left="360"/>
      </w:pPr>
      <w:r>
        <w:rPr>
          <w:rFonts w:ascii="Arial" w:eastAsia="Arial" w:hAnsi="Arial" w:cs="Arial"/>
          <w:color w:val="285216"/>
          <w:sz w:val="23"/>
        </w:rPr>
        <w:t xml:space="preserve">  </w:t>
      </w:r>
    </w:p>
    <w:p>
      <w:pPr>
        <w:numPr>
          <w:ilvl w:val="0"/>
          <w:numId w:val="2"/>
        </w:numPr>
        <w:spacing w:after="1" w:line="285" w:lineRule="auto"/>
        <w:ind w:hanging="10"/>
      </w:pPr>
      <w:r>
        <w:rPr>
          <w:rFonts w:ascii="Candara" w:eastAsia="Candara" w:hAnsi="Candara" w:cs="Candara"/>
          <w:color w:val="285216"/>
          <w:sz w:val="24"/>
        </w:rPr>
        <w:t>You are encouraged to contact the school or your Parish Priest if you are unsure of the Parish boundary.</w:t>
      </w:r>
      <w:r>
        <w:rPr>
          <w:rFonts w:ascii="Arial" w:eastAsia="Arial" w:hAnsi="Arial" w:cs="Arial"/>
          <w:color w:val="285216"/>
          <w:sz w:val="23"/>
        </w:rPr>
        <w:t xml:space="preserve"> </w:t>
      </w:r>
    </w:p>
    <w:p>
      <w:pPr>
        <w:spacing w:after="4"/>
        <w:ind w:left="360"/>
      </w:pPr>
      <w:r>
        <w:rPr>
          <w:rFonts w:ascii="Arial" w:eastAsia="Arial" w:hAnsi="Arial" w:cs="Arial"/>
          <w:color w:val="285216"/>
          <w:sz w:val="23"/>
        </w:rPr>
        <w:t xml:space="preserve">  </w:t>
      </w:r>
    </w:p>
    <w:p>
      <w:pPr>
        <w:numPr>
          <w:ilvl w:val="0"/>
          <w:numId w:val="2"/>
        </w:numPr>
        <w:spacing w:after="1" w:line="285" w:lineRule="auto"/>
        <w:ind w:hanging="10"/>
      </w:pPr>
      <w:r>
        <w:rPr>
          <w:rFonts w:ascii="Candara" w:eastAsia="Candara" w:hAnsi="Candara" w:cs="Candara"/>
          <w:color w:val="285216"/>
          <w:sz w:val="24"/>
        </w:rPr>
        <w:t>Parents include guardians and carers or any person who has parental responsibility or care of the child.</w:t>
      </w:r>
      <w:r>
        <w:rPr>
          <w:rFonts w:ascii="Arial" w:eastAsia="Arial" w:hAnsi="Arial" w:cs="Arial"/>
          <w:color w:val="285216"/>
          <w:sz w:val="23"/>
        </w:rPr>
        <w:t xml:space="preserve"> </w:t>
      </w:r>
    </w:p>
    <w:p>
      <w:pPr>
        <w:spacing w:after="6"/>
        <w:ind w:left="360"/>
      </w:pPr>
      <w:r>
        <w:rPr>
          <w:rFonts w:ascii="Arial" w:eastAsia="Arial" w:hAnsi="Arial" w:cs="Arial"/>
          <w:color w:val="285216"/>
          <w:sz w:val="23"/>
        </w:rPr>
        <w:t xml:space="preserve">  </w:t>
      </w:r>
    </w:p>
    <w:p>
      <w:pPr>
        <w:numPr>
          <w:ilvl w:val="0"/>
          <w:numId w:val="2"/>
        </w:numPr>
        <w:spacing w:after="1" w:line="285" w:lineRule="auto"/>
        <w:ind w:hanging="10"/>
      </w:pPr>
      <w:r>
        <w:rPr>
          <w:rFonts w:ascii="Candara" w:eastAsia="Candara" w:hAnsi="Candara" w:cs="Candara"/>
          <w:color w:val="285216"/>
          <w:sz w:val="24"/>
        </w:rPr>
        <w:t>In accordance with the Code of Canon Law practising means attending Mass on every Sunday and on Holy Days.</w:t>
      </w:r>
      <w:r>
        <w:rPr>
          <w:rFonts w:ascii="Arial" w:eastAsia="Arial" w:hAnsi="Arial" w:cs="Arial"/>
          <w:color w:val="285216"/>
          <w:sz w:val="23"/>
        </w:rPr>
        <w:t xml:space="preserve"> </w:t>
      </w:r>
    </w:p>
    <w:p>
      <w:pPr>
        <w:spacing w:after="47"/>
        <w:ind w:left="360"/>
      </w:pPr>
      <w:r>
        <w:rPr>
          <w:rFonts w:ascii="Arial" w:eastAsia="Arial" w:hAnsi="Arial" w:cs="Arial"/>
          <w:color w:val="285216"/>
          <w:sz w:val="23"/>
        </w:rPr>
        <w:t xml:space="preserve">  </w:t>
      </w:r>
    </w:p>
    <w:p>
      <w:pPr>
        <w:spacing w:after="1" w:line="285" w:lineRule="auto"/>
        <w:ind w:left="355" w:hanging="10"/>
      </w:pPr>
      <w:r>
        <w:rPr>
          <w:rFonts w:ascii="Candara" w:eastAsia="Candara" w:hAnsi="Candara" w:cs="Candara"/>
          <w:color w:val="285216"/>
          <w:sz w:val="24"/>
        </w:rPr>
        <w:t>* Governors will give no preference to applicants where both parents are Catholics.</w:t>
      </w:r>
      <w:r>
        <w:rPr>
          <w:rFonts w:ascii="Arial" w:eastAsia="Arial" w:hAnsi="Arial" w:cs="Arial"/>
          <w:color w:val="285216"/>
          <w:sz w:val="23"/>
        </w:rPr>
        <w:t xml:space="preserve"> </w:t>
      </w:r>
    </w:p>
    <w:p>
      <w:pPr>
        <w:spacing w:after="0"/>
        <w:ind w:left="360"/>
      </w:pPr>
      <w:r>
        <w:rPr>
          <w:rFonts w:ascii="Arial" w:eastAsia="Arial" w:hAnsi="Arial" w:cs="Arial"/>
          <w:color w:val="285216"/>
          <w:sz w:val="23"/>
        </w:rPr>
        <w:t xml:space="preserve">  </w:t>
      </w:r>
    </w:p>
    <w:p>
      <w:pPr>
        <w:spacing w:after="80"/>
        <w:ind w:left="360"/>
        <w:rPr>
          <w:rFonts w:ascii="Arial" w:eastAsia="Arial" w:hAnsi="Arial" w:cs="Arial"/>
          <w:color w:val="285216"/>
          <w:sz w:val="23"/>
        </w:rPr>
      </w:pPr>
      <w:r>
        <w:rPr>
          <w:rFonts w:ascii="Arial" w:eastAsia="Arial" w:hAnsi="Arial" w:cs="Arial"/>
          <w:color w:val="285216"/>
          <w:sz w:val="23"/>
        </w:rPr>
        <w:t xml:space="preserve">  </w:t>
      </w:r>
    </w:p>
    <w:p>
      <w:pPr>
        <w:spacing w:after="80"/>
        <w:ind w:left="360"/>
      </w:pPr>
    </w:p>
    <w:p>
      <w:pPr>
        <w:pStyle w:val="Heading1"/>
      </w:pPr>
      <w:r>
        <w:lastRenderedPageBreak/>
        <w:t>OVERSUBSCRIPTION CRITERIA</w:t>
      </w:r>
      <w:r>
        <w:rPr>
          <w:rFonts w:ascii="Arial" w:eastAsia="Arial" w:hAnsi="Arial" w:cs="Arial"/>
          <w:b w:val="0"/>
          <w:sz w:val="35"/>
          <w:vertAlign w:val="superscript"/>
        </w:rPr>
        <w:t xml:space="preserve"> </w:t>
      </w:r>
    </w:p>
    <w:p>
      <w:pPr>
        <w:spacing w:after="0"/>
        <w:ind w:left="360"/>
      </w:pPr>
      <w:r>
        <w:rPr>
          <w:rFonts w:ascii="Arial" w:eastAsia="Arial" w:hAnsi="Arial" w:cs="Arial"/>
          <w:color w:val="285216"/>
          <w:sz w:val="23"/>
        </w:rPr>
        <w:t xml:space="preserve">  </w:t>
      </w:r>
    </w:p>
    <w:p>
      <w:pPr>
        <w:spacing w:after="34" w:line="245" w:lineRule="auto"/>
        <w:ind w:left="355" w:right="-12" w:hanging="10"/>
        <w:jc w:val="both"/>
      </w:pPr>
      <w:r>
        <w:rPr>
          <w:rFonts w:ascii="Candara" w:eastAsia="Candara" w:hAnsi="Candara" w:cs="Candara"/>
          <w:color w:val="285216"/>
        </w:rPr>
        <w:t>In the event of over subscription in any category the following criteria in the order given below will be used to determine priority.</w:t>
      </w:r>
      <w:r>
        <w:rPr>
          <w:rFonts w:ascii="Arial" w:eastAsia="Arial" w:hAnsi="Arial" w:cs="Arial"/>
          <w:color w:val="285216"/>
          <w:sz w:val="23"/>
        </w:rPr>
        <w:t xml:space="preserve"> </w:t>
      </w:r>
    </w:p>
    <w:p>
      <w:pPr>
        <w:spacing w:after="32"/>
        <w:ind w:left="360"/>
      </w:pPr>
      <w:r>
        <w:rPr>
          <w:rFonts w:ascii="Arial" w:eastAsia="Arial" w:hAnsi="Arial" w:cs="Arial"/>
          <w:color w:val="285216"/>
          <w:sz w:val="23"/>
        </w:rPr>
        <w:t xml:space="preserve">  </w:t>
      </w:r>
    </w:p>
    <w:p>
      <w:pPr>
        <w:spacing w:after="6" w:line="258" w:lineRule="auto"/>
        <w:ind w:left="355" w:right="-9" w:hanging="370"/>
        <w:jc w:val="both"/>
      </w:pPr>
      <w:r>
        <w:rPr>
          <w:rFonts w:ascii="Arial" w:eastAsia="Arial" w:hAnsi="Arial" w:cs="Arial"/>
          <w:color w:val="285216"/>
          <w:sz w:val="23"/>
        </w:rPr>
        <w:t xml:space="preserve">1. </w:t>
      </w:r>
      <w:r>
        <w:rPr>
          <w:rFonts w:ascii="Candara" w:eastAsia="Candara" w:hAnsi="Candara" w:cs="Candara"/>
          <w:b/>
          <w:color w:val="285216"/>
        </w:rPr>
        <w:t xml:space="preserve">Those children who have brother(s) or sister(s) in the School in any but the final year at the time of application.  </w:t>
      </w:r>
      <w:r>
        <w:rPr>
          <w:rFonts w:ascii="Candara" w:eastAsia="Candara" w:hAnsi="Candara" w:cs="Candara"/>
          <w:color w:val="285216"/>
          <w:sz w:val="20"/>
        </w:rPr>
        <w:t xml:space="preserve">A Brother or Sister includes a </w:t>
      </w:r>
      <w:proofErr w:type="spellStart"/>
      <w:r>
        <w:rPr>
          <w:rFonts w:ascii="Candara" w:eastAsia="Candara" w:hAnsi="Candara" w:cs="Candara"/>
          <w:color w:val="285216"/>
          <w:sz w:val="20"/>
        </w:rPr>
        <w:t>half brother</w:t>
      </w:r>
      <w:proofErr w:type="spellEnd"/>
      <w:r>
        <w:rPr>
          <w:rFonts w:ascii="Candara" w:eastAsia="Candara" w:hAnsi="Candara" w:cs="Candara"/>
          <w:color w:val="285216"/>
          <w:sz w:val="20"/>
        </w:rPr>
        <w:t xml:space="preserve"> or a </w:t>
      </w:r>
      <w:proofErr w:type="spellStart"/>
      <w:r>
        <w:rPr>
          <w:rFonts w:ascii="Candara" w:eastAsia="Candara" w:hAnsi="Candara" w:cs="Candara"/>
          <w:color w:val="285216"/>
          <w:sz w:val="20"/>
        </w:rPr>
        <w:t>half sister</w:t>
      </w:r>
      <w:proofErr w:type="spellEnd"/>
      <w:r>
        <w:rPr>
          <w:rFonts w:ascii="Candara" w:eastAsia="Candara" w:hAnsi="Candara" w:cs="Candara"/>
          <w:color w:val="285216"/>
          <w:sz w:val="20"/>
        </w:rPr>
        <w:t xml:space="preserve"> an adopted brother or sister and a foster brother or sister provided they are resident at the same address.</w:t>
      </w:r>
      <w:r>
        <w:rPr>
          <w:rFonts w:ascii="Arial" w:eastAsia="Arial" w:hAnsi="Arial" w:cs="Arial"/>
          <w:color w:val="285216"/>
          <w:sz w:val="23"/>
        </w:rPr>
        <w:t xml:space="preserve"> </w:t>
      </w:r>
    </w:p>
    <w:p>
      <w:pPr>
        <w:spacing w:after="0"/>
        <w:ind w:left="360"/>
      </w:pPr>
      <w:r>
        <w:rPr>
          <w:rFonts w:ascii="Arial" w:eastAsia="Arial" w:hAnsi="Arial" w:cs="Arial"/>
          <w:color w:val="285216"/>
          <w:sz w:val="23"/>
        </w:rPr>
        <w:t xml:space="preserve">  </w:t>
      </w:r>
    </w:p>
    <w:p>
      <w:pPr>
        <w:spacing w:after="36" w:line="258" w:lineRule="auto"/>
        <w:ind w:left="355" w:right="-9" w:hanging="370"/>
        <w:jc w:val="both"/>
      </w:pPr>
      <w:r>
        <w:rPr>
          <w:rFonts w:ascii="Arial" w:eastAsia="Arial" w:hAnsi="Arial" w:cs="Arial"/>
          <w:color w:val="285216"/>
          <w:sz w:val="23"/>
        </w:rPr>
        <w:t xml:space="preserve">1. </w:t>
      </w:r>
      <w:r>
        <w:rPr>
          <w:rFonts w:ascii="Candara" w:eastAsia="Candara" w:hAnsi="Candara" w:cs="Candara"/>
          <w:color w:val="285216"/>
          <w:sz w:val="20"/>
        </w:rPr>
        <w:t>The straight line distance from the school will be taken into account, with those living nearer the school having a higher priority. All straight line distances are calculated electronically by the LA using data provided jointly by the Post Office and Ordnance Survey. The data plots the co-ordinates of each property and provides the address-point between which straight line distance is measured and reported to three decimal places. In the unlikely event of two applicants with an identical distance competing for a single place at a school the place will be offered to one applicant on the basis of lots drawn by an officer of the County Council not involved in admissions.</w:t>
      </w:r>
      <w:r>
        <w:rPr>
          <w:rFonts w:ascii="Arial" w:eastAsia="Arial" w:hAnsi="Arial" w:cs="Arial"/>
          <w:color w:val="285216"/>
          <w:sz w:val="23"/>
        </w:rPr>
        <w:t xml:space="preserve"> </w:t>
      </w:r>
      <w:r>
        <w:rPr>
          <w:rFonts w:ascii="Candara" w:eastAsia="Candara" w:hAnsi="Candara" w:cs="Candara"/>
          <w:b/>
          <w:color w:val="285216"/>
        </w:rPr>
        <w:t>Notes:</w:t>
      </w:r>
      <w:r>
        <w:rPr>
          <w:rFonts w:ascii="Arial" w:eastAsia="Arial" w:hAnsi="Arial" w:cs="Arial"/>
          <w:color w:val="285216"/>
          <w:sz w:val="23"/>
        </w:rPr>
        <w:t xml:space="preserve"> </w:t>
      </w:r>
    </w:p>
    <w:p>
      <w:pPr>
        <w:numPr>
          <w:ilvl w:val="0"/>
          <w:numId w:val="3"/>
        </w:numPr>
        <w:spacing w:after="30" w:line="258" w:lineRule="auto"/>
        <w:ind w:hanging="360"/>
        <w:jc w:val="both"/>
      </w:pPr>
      <w:r>
        <w:rPr>
          <w:rFonts w:ascii="Candara" w:eastAsia="Candara" w:hAnsi="Candara" w:cs="Candara"/>
          <w:b/>
          <w:color w:val="285216"/>
        </w:rPr>
        <w:t>The acceptance of a child into the School does not automatically guarantee a place for brothers and sisters – e.g. admission to Reception class does not automatically gain admission to other years for other siblings.</w:t>
      </w:r>
      <w:r>
        <w:rPr>
          <w:rFonts w:ascii="Arial" w:eastAsia="Arial" w:hAnsi="Arial" w:cs="Arial"/>
          <w:color w:val="285216"/>
          <w:sz w:val="23"/>
        </w:rPr>
        <w:t xml:space="preserve"> </w:t>
      </w:r>
    </w:p>
    <w:p>
      <w:pPr>
        <w:numPr>
          <w:ilvl w:val="0"/>
          <w:numId w:val="3"/>
        </w:numPr>
        <w:spacing w:after="26" w:line="258" w:lineRule="auto"/>
        <w:ind w:hanging="360"/>
        <w:jc w:val="both"/>
      </w:pPr>
      <w:r>
        <w:rPr>
          <w:rFonts w:ascii="Candara" w:eastAsia="Candara" w:hAnsi="Candara" w:cs="Candara"/>
          <w:b/>
          <w:color w:val="285216"/>
        </w:rPr>
        <w:t>In applying for a place at the School the Governors assume that you will support the Catholic ethos of the School, the teachings of the Church, and School policies from time to time in force.</w:t>
      </w:r>
      <w:r>
        <w:rPr>
          <w:rFonts w:ascii="Arial" w:eastAsia="Arial" w:hAnsi="Arial" w:cs="Arial"/>
          <w:color w:val="285216"/>
          <w:sz w:val="23"/>
        </w:rPr>
        <w:t xml:space="preserve"> </w:t>
      </w:r>
    </w:p>
    <w:p>
      <w:pPr>
        <w:numPr>
          <w:ilvl w:val="0"/>
          <w:numId w:val="3"/>
        </w:numPr>
        <w:spacing w:after="1" w:line="258" w:lineRule="auto"/>
        <w:ind w:hanging="360"/>
        <w:jc w:val="both"/>
      </w:pPr>
      <w:r>
        <w:rPr>
          <w:rFonts w:ascii="Candara" w:eastAsia="Candara" w:hAnsi="Candara" w:cs="Candara"/>
          <w:b/>
          <w:color w:val="285216"/>
        </w:rPr>
        <w:t>Parents will be informed of the result of their application by the LA.</w:t>
      </w:r>
      <w:r>
        <w:rPr>
          <w:rFonts w:ascii="Arial" w:eastAsia="Arial" w:hAnsi="Arial" w:cs="Arial"/>
          <w:color w:val="285216"/>
          <w:sz w:val="23"/>
        </w:rPr>
        <w:t xml:space="preserve"> </w:t>
      </w:r>
    </w:p>
    <w:p>
      <w:pPr>
        <w:numPr>
          <w:ilvl w:val="0"/>
          <w:numId w:val="3"/>
        </w:numPr>
        <w:spacing w:after="26" w:line="258" w:lineRule="auto"/>
        <w:ind w:hanging="360"/>
        <w:jc w:val="both"/>
      </w:pPr>
      <w:r>
        <w:rPr>
          <w:rFonts w:ascii="Candara" w:eastAsia="Candara" w:hAnsi="Candara" w:cs="Candara"/>
          <w:b/>
          <w:color w:val="285216"/>
        </w:rPr>
        <w:t>Parents whose application has been unsuccessful have the right of appeal.  Details of this are available from the School.</w:t>
      </w:r>
      <w:r>
        <w:rPr>
          <w:rFonts w:ascii="Arial" w:eastAsia="Arial" w:hAnsi="Arial" w:cs="Arial"/>
          <w:color w:val="285216"/>
          <w:sz w:val="23"/>
        </w:rPr>
        <w:t xml:space="preserve"> </w:t>
      </w:r>
    </w:p>
    <w:p>
      <w:pPr>
        <w:numPr>
          <w:ilvl w:val="0"/>
          <w:numId w:val="3"/>
        </w:numPr>
        <w:spacing w:after="1" w:line="258" w:lineRule="auto"/>
        <w:ind w:hanging="360"/>
        <w:jc w:val="both"/>
      </w:pPr>
      <w:r>
        <w:rPr>
          <w:rFonts w:ascii="Candara" w:eastAsia="Candara" w:hAnsi="Candara" w:cs="Candara"/>
          <w:b/>
          <w:color w:val="285216"/>
        </w:rPr>
        <w:t>The medical conditions of children may have priority at the Governors’ discretion – with due regard to the efficient running of the School, that is, the efficient education of the children in a given year group and the efficient use of School resources. Evidence of medical considerations must be presented at the point of application.</w:t>
      </w:r>
      <w:r>
        <w:rPr>
          <w:rFonts w:ascii="Arial" w:eastAsia="Arial" w:hAnsi="Arial" w:cs="Arial"/>
          <w:color w:val="285216"/>
          <w:sz w:val="23"/>
        </w:rPr>
        <w:t xml:space="preserve"> </w:t>
      </w:r>
    </w:p>
    <w:p>
      <w:pPr>
        <w:spacing w:after="11"/>
        <w:ind w:left="360"/>
      </w:pPr>
      <w:r>
        <w:rPr>
          <w:rFonts w:ascii="Arial" w:eastAsia="Arial" w:hAnsi="Arial" w:cs="Arial"/>
          <w:color w:val="285216"/>
          <w:sz w:val="23"/>
        </w:rPr>
        <w:t xml:space="preserve">  </w:t>
      </w:r>
    </w:p>
    <w:p>
      <w:pPr>
        <w:spacing w:after="1" w:line="258" w:lineRule="auto"/>
        <w:ind w:left="370" w:hanging="10"/>
        <w:jc w:val="both"/>
      </w:pPr>
      <w:r>
        <w:rPr>
          <w:rFonts w:ascii="Candara" w:eastAsia="Candara" w:hAnsi="Candara" w:cs="Candara"/>
          <w:b/>
          <w:color w:val="285216"/>
        </w:rPr>
        <w:t>Waiting List</w:t>
      </w:r>
      <w:r>
        <w:rPr>
          <w:rFonts w:ascii="Arial" w:eastAsia="Arial" w:hAnsi="Arial" w:cs="Arial"/>
          <w:b/>
          <w:color w:val="285216"/>
          <w:sz w:val="20"/>
        </w:rPr>
        <w:t xml:space="preserve"> </w:t>
      </w:r>
    </w:p>
    <w:p>
      <w:pPr>
        <w:spacing w:after="34" w:line="245" w:lineRule="auto"/>
        <w:ind w:left="355" w:right="-12" w:hanging="10"/>
        <w:jc w:val="both"/>
      </w:pPr>
      <w:r>
        <w:rPr>
          <w:rFonts w:ascii="Candara" w:eastAsia="Candara" w:hAnsi="Candara" w:cs="Candara"/>
          <w:color w:val="285216"/>
        </w:rPr>
        <w:t>The School will maintain a waiting list for all year groups should applications be received after all nursery places have been filled. The school regularly contacts parents on the waiting list to check if the place is still required and the list is reviewed annually in accordance with the admissions criteria.</w:t>
      </w:r>
      <w:r>
        <w:rPr>
          <w:rFonts w:ascii="Arial" w:eastAsia="Arial" w:hAnsi="Arial" w:cs="Arial"/>
          <w:color w:val="285216"/>
          <w:sz w:val="23"/>
        </w:rPr>
        <w:t xml:space="preserve">   </w:t>
      </w:r>
    </w:p>
    <w:p>
      <w:pPr>
        <w:spacing w:after="1" w:line="258" w:lineRule="auto"/>
        <w:ind w:left="370" w:hanging="10"/>
        <w:jc w:val="both"/>
      </w:pPr>
      <w:r>
        <w:rPr>
          <w:rFonts w:ascii="Candara" w:eastAsia="Candara" w:hAnsi="Candara" w:cs="Candara"/>
          <w:b/>
          <w:color w:val="285216"/>
        </w:rPr>
        <w:t>Pupils with a Statement of Special Educational Needs</w:t>
      </w:r>
      <w:r>
        <w:rPr>
          <w:rFonts w:ascii="Arial" w:eastAsia="Arial" w:hAnsi="Arial" w:cs="Arial"/>
          <w:b/>
          <w:color w:val="285216"/>
          <w:sz w:val="20"/>
        </w:rPr>
        <w:t xml:space="preserve"> </w:t>
      </w:r>
    </w:p>
    <w:p>
      <w:pPr>
        <w:spacing w:after="34" w:line="245" w:lineRule="auto"/>
        <w:ind w:left="355" w:right="-12" w:hanging="10"/>
        <w:jc w:val="both"/>
      </w:pPr>
      <w:r>
        <w:rPr>
          <w:rFonts w:ascii="Candara" w:eastAsia="Candara" w:hAnsi="Candara" w:cs="Candara"/>
          <w:color w:val="285216"/>
        </w:rPr>
        <w:t>If our school is named on your child’s Statement or Education, Health and Care Plan their admission is dealt with by a completely separate procedure giving your child a place at the school regardless of the Admissions Criteria.  Details of this separate procedure are set out in the Special Educational Needs Code of Practice.  Please contact the school for further advice or the Parent Partnership Service. Information for parents about the</w:t>
      </w:r>
      <w:hyperlink r:id="rId8">
        <w:r>
          <w:rPr>
            <w:rFonts w:ascii="Candara" w:eastAsia="Candara" w:hAnsi="Candara" w:cs="Candara"/>
            <w:color w:val="285216"/>
          </w:rPr>
          <w:t xml:space="preserve"> </w:t>
        </w:r>
      </w:hyperlink>
      <w:hyperlink r:id="rId9">
        <w:r>
          <w:rPr>
            <w:rFonts w:ascii="Candara" w:eastAsia="Candara" w:hAnsi="Candara" w:cs="Candara"/>
          </w:rPr>
          <w:t>Essex</w:t>
        </w:r>
      </w:hyperlink>
      <w:hyperlink r:id="rId10">
        <w:r>
          <w:rPr>
            <w:rFonts w:ascii="Candara" w:eastAsia="Candara" w:hAnsi="Candara" w:cs="Candara"/>
          </w:rPr>
          <w:t xml:space="preserve"> </w:t>
        </w:r>
      </w:hyperlink>
      <w:hyperlink r:id="rId11">
        <w:r>
          <w:rPr>
            <w:rFonts w:ascii="Candara" w:eastAsia="Candara" w:hAnsi="Candara" w:cs="Candara"/>
          </w:rPr>
          <w:t>Parent</w:t>
        </w:r>
      </w:hyperlink>
      <w:hyperlink r:id="rId12">
        <w:r>
          <w:rPr>
            <w:rFonts w:ascii="Candara" w:eastAsia="Candara" w:hAnsi="Candara" w:cs="Candara"/>
          </w:rPr>
          <w:t xml:space="preserve"> </w:t>
        </w:r>
      </w:hyperlink>
      <w:hyperlink r:id="rId13">
        <w:r>
          <w:rPr>
            <w:rFonts w:ascii="Candara" w:eastAsia="Candara" w:hAnsi="Candara" w:cs="Candara"/>
          </w:rPr>
          <w:t>Partnership</w:t>
        </w:r>
      </w:hyperlink>
      <w:hyperlink r:id="rId14">
        <w:r>
          <w:rPr>
            <w:rFonts w:ascii="Candara" w:eastAsia="Candara" w:hAnsi="Candara" w:cs="Candara"/>
          </w:rPr>
          <w:t xml:space="preserve"> </w:t>
        </w:r>
      </w:hyperlink>
      <w:hyperlink r:id="rId15">
        <w:r>
          <w:rPr>
            <w:rFonts w:ascii="Candara" w:eastAsia="Candara" w:hAnsi="Candara" w:cs="Candara"/>
          </w:rPr>
          <w:t>Service</w:t>
        </w:r>
      </w:hyperlink>
      <w:hyperlink r:id="rId16">
        <w:r>
          <w:rPr>
            <w:rFonts w:ascii="Candara" w:eastAsia="Candara" w:hAnsi="Candara" w:cs="Candara"/>
            <w:color w:val="285216"/>
          </w:rPr>
          <w:t xml:space="preserve"> </w:t>
        </w:r>
      </w:hyperlink>
      <w:r>
        <w:rPr>
          <w:rFonts w:ascii="Candara" w:eastAsia="Candara" w:hAnsi="Candara" w:cs="Candara"/>
          <w:color w:val="285216"/>
        </w:rPr>
        <w:t xml:space="preserve">can be found on the main Essex County Council website. </w:t>
      </w:r>
    </w:p>
    <w:p>
      <w:pPr>
        <w:spacing w:after="0"/>
        <w:ind w:left="360"/>
      </w:pPr>
      <w:r>
        <w:rPr>
          <w:rFonts w:ascii="Candara" w:eastAsia="Candara" w:hAnsi="Candara" w:cs="Candara"/>
          <w:color w:val="285216"/>
        </w:rPr>
        <w:t>Email:</w:t>
      </w:r>
      <w:r>
        <w:rPr>
          <w:rFonts w:ascii="Candara" w:eastAsia="Candara" w:hAnsi="Candara" w:cs="Candara"/>
        </w:rPr>
        <w:t>parentpartnership@essex.gov.uk</w:t>
      </w:r>
      <w:r>
        <w:rPr>
          <w:rFonts w:ascii="Candara" w:eastAsia="Candara" w:hAnsi="Candara" w:cs="Candara"/>
          <w:color w:val="285216"/>
        </w:rPr>
        <w:t xml:space="preserve"> Telephone: 01245 436036</w:t>
      </w:r>
      <w:r>
        <w:rPr>
          <w:rFonts w:ascii="Arial" w:eastAsia="Arial" w:hAnsi="Arial" w:cs="Arial"/>
          <w:color w:val="285216"/>
          <w:sz w:val="23"/>
        </w:rPr>
        <w:t xml:space="preserve"> </w:t>
      </w:r>
    </w:p>
    <w:p>
      <w:pPr>
        <w:spacing w:after="24"/>
        <w:ind w:left="360"/>
      </w:pPr>
      <w:r>
        <w:rPr>
          <w:rFonts w:ascii="Arial" w:eastAsia="Arial" w:hAnsi="Arial" w:cs="Arial"/>
          <w:color w:val="285216"/>
          <w:sz w:val="23"/>
        </w:rPr>
        <w:t xml:space="preserve">  </w:t>
      </w:r>
    </w:p>
    <w:p>
      <w:pPr>
        <w:spacing w:after="1" w:line="258" w:lineRule="auto"/>
        <w:ind w:left="370" w:hanging="10"/>
        <w:jc w:val="both"/>
      </w:pPr>
      <w:r>
        <w:rPr>
          <w:rFonts w:ascii="Candara" w:eastAsia="Candara" w:hAnsi="Candara" w:cs="Candara"/>
          <w:b/>
          <w:color w:val="285216"/>
        </w:rPr>
        <w:t>Looked after Children</w:t>
      </w:r>
      <w:r>
        <w:rPr>
          <w:rFonts w:ascii="Arial" w:eastAsia="Arial" w:hAnsi="Arial" w:cs="Arial"/>
          <w:color w:val="285216"/>
          <w:sz w:val="23"/>
        </w:rPr>
        <w:t xml:space="preserve"> </w:t>
      </w:r>
    </w:p>
    <w:p>
      <w:pPr>
        <w:spacing w:after="4" w:line="245" w:lineRule="auto"/>
        <w:ind w:left="355" w:right="-12" w:hanging="10"/>
        <w:jc w:val="both"/>
      </w:pPr>
      <w:r>
        <w:rPr>
          <w:rFonts w:ascii="Candara" w:eastAsia="Candara" w:hAnsi="Candara" w:cs="Candara"/>
          <w:color w:val="285216"/>
        </w:rPr>
        <w:t xml:space="preserve">A ‘looked after child’ or a child who was previously looked after but immediately after being looked after, became subject to an adoption, residence or special guardianship order. A looked after child </w:t>
      </w:r>
      <w:r>
        <w:rPr>
          <w:rFonts w:ascii="Candara" w:eastAsia="Candara" w:hAnsi="Candara" w:cs="Candara"/>
          <w:color w:val="285216"/>
        </w:rPr>
        <w:lastRenderedPageBreak/>
        <w:t>is a child who is (a) in the care of a local authority, or (b) being provided with accommodation by a local authority in the exercise of their social services functions (see the definition in section 22(1) of the Children Act 1989).</w:t>
      </w:r>
      <w:r>
        <w:rPr>
          <w:rFonts w:ascii="Arial" w:eastAsia="Arial" w:hAnsi="Arial" w:cs="Arial"/>
          <w:color w:val="285216"/>
          <w:sz w:val="23"/>
        </w:rPr>
        <w:t xml:space="preserve"> </w:t>
      </w:r>
    </w:p>
    <w:p>
      <w:pPr>
        <w:spacing w:after="24"/>
        <w:ind w:left="720"/>
      </w:pPr>
      <w:r>
        <w:rPr>
          <w:rFonts w:ascii="Arial" w:eastAsia="Arial" w:hAnsi="Arial" w:cs="Arial"/>
          <w:color w:val="285216"/>
          <w:sz w:val="23"/>
        </w:rPr>
        <w:t xml:space="preserve">  </w:t>
      </w:r>
    </w:p>
    <w:p>
      <w:pPr>
        <w:spacing w:after="1" w:line="258" w:lineRule="auto"/>
        <w:ind w:left="370" w:hanging="10"/>
        <w:jc w:val="both"/>
      </w:pPr>
      <w:r>
        <w:rPr>
          <w:rFonts w:ascii="Candara" w:eastAsia="Candara" w:hAnsi="Candara" w:cs="Candara"/>
          <w:b/>
          <w:color w:val="285216"/>
        </w:rPr>
        <w:t>Timing of Admission</w:t>
      </w:r>
      <w:r>
        <w:rPr>
          <w:rFonts w:ascii="Arial" w:eastAsia="Arial" w:hAnsi="Arial" w:cs="Arial"/>
          <w:color w:val="285216"/>
          <w:sz w:val="23"/>
        </w:rPr>
        <w:t xml:space="preserve"> </w:t>
      </w:r>
    </w:p>
    <w:p>
      <w:pPr>
        <w:spacing w:after="34" w:line="245" w:lineRule="auto"/>
        <w:ind w:left="355" w:right="-12" w:hanging="10"/>
        <w:jc w:val="both"/>
      </w:pPr>
      <w:r>
        <w:rPr>
          <w:rFonts w:ascii="Candara" w:eastAsia="Candara" w:hAnsi="Candara" w:cs="Candara"/>
          <w:color w:val="285216"/>
        </w:rPr>
        <w:t xml:space="preserve">As required by law, this school provides for the full-time admission of all children offered a place in the reception year group from the September following their fourth birthday. </w:t>
      </w:r>
      <w:r>
        <w:rPr>
          <w:rFonts w:ascii="Arial" w:eastAsia="Arial" w:hAnsi="Arial" w:cs="Arial"/>
          <w:color w:val="285216"/>
          <w:sz w:val="23"/>
        </w:rPr>
        <w:t xml:space="preserve"> </w:t>
      </w:r>
    </w:p>
    <w:p>
      <w:pPr>
        <w:spacing w:after="0"/>
        <w:ind w:left="360"/>
      </w:pPr>
      <w:r>
        <w:rPr>
          <w:rFonts w:ascii="Arial" w:eastAsia="Arial" w:hAnsi="Arial" w:cs="Arial"/>
          <w:color w:val="285216"/>
          <w:sz w:val="23"/>
        </w:rPr>
        <w:t xml:space="preserve">  </w:t>
      </w:r>
    </w:p>
    <w:p>
      <w:pPr>
        <w:spacing w:after="34" w:line="245" w:lineRule="auto"/>
        <w:ind w:left="355" w:right="-12" w:hanging="10"/>
        <w:jc w:val="both"/>
      </w:pPr>
      <w:r>
        <w:rPr>
          <w:rFonts w:ascii="Candara" w:eastAsia="Candara" w:hAnsi="Candara" w:cs="Candara"/>
          <w:color w:val="285216"/>
        </w:rPr>
        <w:t xml:space="preserve">Parents can request that the date their child is admitted to the school is deferred until later in the school year or until the child reaches compulsory school age in the school year. Where entry is deferred, the school will hold the place for that child and not offer it to another child. The parent would not however be able to defer entry beyond the beginning of the term after the child’s fifth birthday, nor beyond the academic year for which the original application was accepted.  </w:t>
      </w:r>
      <w:r>
        <w:rPr>
          <w:rFonts w:ascii="Arial" w:eastAsia="Arial" w:hAnsi="Arial" w:cs="Arial"/>
          <w:color w:val="285216"/>
          <w:sz w:val="23"/>
        </w:rPr>
        <w:t xml:space="preserve"> </w:t>
      </w:r>
    </w:p>
    <w:p>
      <w:pPr>
        <w:spacing w:after="0"/>
        <w:ind w:left="360"/>
      </w:pPr>
      <w:r>
        <w:rPr>
          <w:rFonts w:ascii="Arial" w:eastAsia="Arial" w:hAnsi="Arial" w:cs="Arial"/>
          <w:color w:val="285216"/>
          <w:sz w:val="23"/>
        </w:rPr>
        <w:t xml:space="preserve">  </w:t>
      </w:r>
    </w:p>
    <w:p>
      <w:pPr>
        <w:spacing w:after="7" w:line="245" w:lineRule="auto"/>
        <w:ind w:left="355" w:right="-12" w:hanging="10"/>
        <w:jc w:val="both"/>
      </w:pPr>
      <w:r>
        <w:rPr>
          <w:rFonts w:ascii="Candara" w:eastAsia="Candara" w:hAnsi="Candara" w:cs="Candara"/>
          <w:color w:val="285216"/>
        </w:rPr>
        <w:t xml:space="preserve">Parents can also request that their child attends part-time until the child reaches compulsory school age. </w:t>
      </w:r>
      <w:r>
        <w:rPr>
          <w:rFonts w:ascii="Candara" w:eastAsia="Candara" w:hAnsi="Candara" w:cs="Candara"/>
          <w:b/>
          <w:color w:val="285216"/>
          <w:u w:val="single" w:color="285216"/>
        </w:rPr>
        <w:t xml:space="preserve">For parents opting to take up a part time place this would be mornings only. </w:t>
      </w:r>
      <w:r>
        <w:rPr>
          <w:rFonts w:ascii="Candara" w:eastAsia="Candara" w:hAnsi="Candara" w:cs="Candara"/>
          <w:color w:val="285216"/>
        </w:rPr>
        <w:t xml:space="preserve">  Where parents choose to defer entry, the school may reasonably expect that the child would start at the beginning of a new school term/half term.</w:t>
      </w:r>
      <w:r>
        <w:rPr>
          <w:rFonts w:ascii="Arial" w:eastAsia="Arial" w:hAnsi="Arial" w:cs="Arial"/>
          <w:color w:val="285216"/>
          <w:sz w:val="23"/>
        </w:rPr>
        <w:t xml:space="preserve"> </w:t>
      </w:r>
    </w:p>
    <w:p>
      <w:pPr>
        <w:spacing w:after="0"/>
        <w:ind w:left="360"/>
      </w:pPr>
      <w:r>
        <w:rPr>
          <w:rFonts w:ascii="Arial" w:eastAsia="Arial" w:hAnsi="Arial" w:cs="Arial"/>
          <w:color w:val="285216"/>
          <w:sz w:val="23"/>
        </w:rPr>
        <w:t xml:space="preserve">  </w:t>
      </w:r>
    </w:p>
    <w:p>
      <w:pPr>
        <w:spacing w:after="0"/>
        <w:ind w:left="355" w:hanging="10"/>
      </w:pPr>
      <w:hyperlink r:id="rId17">
        <w:r>
          <w:rPr>
            <w:rFonts w:ascii="Arial" w:eastAsia="Arial" w:hAnsi="Arial" w:cs="Arial"/>
            <w:color w:val="DA6C26"/>
            <w:sz w:val="23"/>
          </w:rPr>
          <w:t>https://www.essex.gov.uk/Education</w:t>
        </w:r>
      </w:hyperlink>
      <w:hyperlink r:id="rId18">
        <w:r>
          <w:rPr>
            <w:rFonts w:ascii="Arial" w:eastAsia="Arial" w:hAnsi="Arial" w:cs="Arial"/>
            <w:color w:val="DA6C26"/>
            <w:sz w:val="23"/>
          </w:rPr>
          <w:t>-</w:t>
        </w:r>
      </w:hyperlink>
    </w:p>
    <w:p>
      <w:pPr>
        <w:spacing w:after="177"/>
        <w:ind w:left="355" w:hanging="10"/>
      </w:pPr>
      <w:hyperlink r:id="rId19">
        <w:r>
          <w:rPr>
            <w:rFonts w:ascii="Arial" w:eastAsia="Arial" w:hAnsi="Arial" w:cs="Arial"/>
            <w:color w:val="DA6C26"/>
            <w:sz w:val="23"/>
          </w:rPr>
          <w:t>Schools/Schools/Admissions/Pages/Admissions.aspx</w:t>
        </w:r>
      </w:hyperlink>
      <w:hyperlink r:id="rId20">
        <w:r>
          <w:rPr>
            <w:rFonts w:ascii="Arial" w:eastAsia="Arial" w:hAnsi="Arial" w:cs="Arial"/>
            <w:color w:val="285216"/>
            <w:sz w:val="23"/>
          </w:rPr>
          <w:t xml:space="preserve"> </w:t>
        </w:r>
      </w:hyperlink>
    </w:p>
    <w:p>
      <w:pPr>
        <w:spacing w:after="0" w:line="241" w:lineRule="auto"/>
        <w:ind w:left="360"/>
      </w:pPr>
      <w:r>
        <w:rPr>
          <w:rFonts w:ascii="Arial" w:eastAsia="Arial" w:hAnsi="Arial" w:cs="Arial"/>
          <w:color w:val="285216"/>
          <w:sz w:val="23"/>
        </w:rPr>
        <w:t xml:space="preserve">For queries regarding Admission please contact the School by telephone on 01255 425344 or send an enquiry using the contact form. </w:t>
      </w:r>
    </w:p>
    <w:sectPr>
      <w:pgSz w:w="11906" w:h="16838"/>
      <w:pgMar w:top="1445" w:right="1433" w:bottom="1617" w:left="1080" w:header="720" w:footer="720" w:gutter="0"/>
      <w:pgBorders w:display="firstPage" w:offsetFrom="page">
        <w:top w:val="single" w:sz="24" w:space="24" w:color="FF0000"/>
        <w:left w:val="single" w:sz="24" w:space="24" w:color="FF0000"/>
        <w:bottom w:val="single" w:sz="24" w:space="24" w:color="FF0000"/>
        <w:right w:val="single" w:sz="24" w:space="24" w:color="FF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heltenhm B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D361A5"/>
    <w:multiLevelType w:val="hybridMultilevel"/>
    <w:tmpl w:val="94C869D6"/>
    <w:lvl w:ilvl="0" w:tplc="BA9C6B58">
      <w:start w:val="1"/>
      <w:numFmt w:val="bullet"/>
      <w:lvlText w:val="•"/>
      <w:lvlJc w:val="left"/>
      <w:pPr>
        <w:ind w:left="360"/>
      </w:pPr>
      <w:rPr>
        <w:rFonts w:ascii="Arial" w:eastAsia="Arial" w:hAnsi="Arial" w:cs="Arial"/>
        <w:b w:val="0"/>
        <w:i w:val="0"/>
        <w:strike w:val="0"/>
        <w:dstrike w:val="0"/>
        <w:color w:val="285216"/>
        <w:sz w:val="31"/>
        <w:szCs w:val="31"/>
        <w:u w:val="none" w:color="000000"/>
        <w:bdr w:val="none" w:sz="0" w:space="0" w:color="auto"/>
        <w:shd w:val="clear" w:color="auto" w:fill="auto"/>
        <w:vertAlign w:val="superscript"/>
      </w:rPr>
    </w:lvl>
    <w:lvl w:ilvl="1" w:tplc="A9665920">
      <w:start w:val="1"/>
      <w:numFmt w:val="bullet"/>
      <w:lvlText w:val="o"/>
      <w:lvlJc w:val="left"/>
      <w:pPr>
        <w:ind w:left="1080"/>
      </w:pPr>
      <w:rPr>
        <w:rFonts w:ascii="Segoe UI Symbol" w:eastAsia="Segoe UI Symbol" w:hAnsi="Segoe UI Symbol" w:cs="Segoe UI Symbol"/>
        <w:b w:val="0"/>
        <w:i w:val="0"/>
        <w:strike w:val="0"/>
        <w:dstrike w:val="0"/>
        <w:color w:val="285216"/>
        <w:sz w:val="31"/>
        <w:szCs w:val="31"/>
        <w:u w:val="none" w:color="000000"/>
        <w:bdr w:val="none" w:sz="0" w:space="0" w:color="auto"/>
        <w:shd w:val="clear" w:color="auto" w:fill="auto"/>
        <w:vertAlign w:val="superscript"/>
      </w:rPr>
    </w:lvl>
    <w:lvl w:ilvl="2" w:tplc="B6986674">
      <w:start w:val="1"/>
      <w:numFmt w:val="bullet"/>
      <w:lvlText w:val="▪"/>
      <w:lvlJc w:val="left"/>
      <w:pPr>
        <w:ind w:left="1800"/>
      </w:pPr>
      <w:rPr>
        <w:rFonts w:ascii="Segoe UI Symbol" w:eastAsia="Segoe UI Symbol" w:hAnsi="Segoe UI Symbol" w:cs="Segoe UI Symbol"/>
        <w:b w:val="0"/>
        <w:i w:val="0"/>
        <w:strike w:val="0"/>
        <w:dstrike w:val="0"/>
        <w:color w:val="285216"/>
        <w:sz w:val="31"/>
        <w:szCs w:val="31"/>
        <w:u w:val="none" w:color="000000"/>
        <w:bdr w:val="none" w:sz="0" w:space="0" w:color="auto"/>
        <w:shd w:val="clear" w:color="auto" w:fill="auto"/>
        <w:vertAlign w:val="superscript"/>
      </w:rPr>
    </w:lvl>
    <w:lvl w:ilvl="3" w:tplc="CB60DEA6">
      <w:start w:val="1"/>
      <w:numFmt w:val="bullet"/>
      <w:lvlText w:val="•"/>
      <w:lvlJc w:val="left"/>
      <w:pPr>
        <w:ind w:left="2520"/>
      </w:pPr>
      <w:rPr>
        <w:rFonts w:ascii="Arial" w:eastAsia="Arial" w:hAnsi="Arial" w:cs="Arial"/>
        <w:b w:val="0"/>
        <w:i w:val="0"/>
        <w:strike w:val="0"/>
        <w:dstrike w:val="0"/>
        <w:color w:val="285216"/>
        <w:sz w:val="31"/>
        <w:szCs w:val="31"/>
        <w:u w:val="none" w:color="000000"/>
        <w:bdr w:val="none" w:sz="0" w:space="0" w:color="auto"/>
        <w:shd w:val="clear" w:color="auto" w:fill="auto"/>
        <w:vertAlign w:val="superscript"/>
      </w:rPr>
    </w:lvl>
    <w:lvl w:ilvl="4" w:tplc="039028C0">
      <w:start w:val="1"/>
      <w:numFmt w:val="bullet"/>
      <w:lvlText w:val="o"/>
      <w:lvlJc w:val="left"/>
      <w:pPr>
        <w:ind w:left="3240"/>
      </w:pPr>
      <w:rPr>
        <w:rFonts w:ascii="Segoe UI Symbol" w:eastAsia="Segoe UI Symbol" w:hAnsi="Segoe UI Symbol" w:cs="Segoe UI Symbol"/>
        <w:b w:val="0"/>
        <w:i w:val="0"/>
        <w:strike w:val="0"/>
        <w:dstrike w:val="0"/>
        <w:color w:val="285216"/>
        <w:sz w:val="31"/>
        <w:szCs w:val="31"/>
        <w:u w:val="none" w:color="000000"/>
        <w:bdr w:val="none" w:sz="0" w:space="0" w:color="auto"/>
        <w:shd w:val="clear" w:color="auto" w:fill="auto"/>
        <w:vertAlign w:val="superscript"/>
      </w:rPr>
    </w:lvl>
    <w:lvl w:ilvl="5" w:tplc="A2006620">
      <w:start w:val="1"/>
      <w:numFmt w:val="bullet"/>
      <w:lvlText w:val="▪"/>
      <w:lvlJc w:val="left"/>
      <w:pPr>
        <w:ind w:left="3960"/>
      </w:pPr>
      <w:rPr>
        <w:rFonts w:ascii="Segoe UI Symbol" w:eastAsia="Segoe UI Symbol" w:hAnsi="Segoe UI Symbol" w:cs="Segoe UI Symbol"/>
        <w:b w:val="0"/>
        <w:i w:val="0"/>
        <w:strike w:val="0"/>
        <w:dstrike w:val="0"/>
        <w:color w:val="285216"/>
        <w:sz w:val="31"/>
        <w:szCs w:val="31"/>
        <w:u w:val="none" w:color="000000"/>
        <w:bdr w:val="none" w:sz="0" w:space="0" w:color="auto"/>
        <w:shd w:val="clear" w:color="auto" w:fill="auto"/>
        <w:vertAlign w:val="superscript"/>
      </w:rPr>
    </w:lvl>
    <w:lvl w:ilvl="6" w:tplc="5E7C19F0">
      <w:start w:val="1"/>
      <w:numFmt w:val="bullet"/>
      <w:lvlText w:val="•"/>
      <w:lvlJc w:val="left"/>
      <w:pPr>
        <w:ind w:left="4680"/>
      </w:pPr>
      <w:rPr>
        <w:rFonts w:ascii="Arial" w:eastAsia="Arial" w:hAnsi="Arial" w:cs="Arial"/>
        <w:b w:val="0"/>
        <w:i w:val="0"/>
        <w:strike w:val="0"/>
        <w:dstrike w:val="0"/>
        <w:color w:val="285216"/>
        <w:sz w:val="31"/>
        <w:szCs w:val="31"/>
        <w:u w:val="none" w:color="000000"/>
        <w:bdr w:val="none" w:sz="0" w:space="0" w:color="auto"/>
        <w:shd w:val="clear" w:color="auto" w:fill="auto"/>
        <w:vertAlign w:val="superscript"/>
      </w:rPr>
    </w:lvl>
    <w:lvl w:ilvl="7" w:tplc="76F2C202">
      <w:start w:val="1"/>
      <w:numFmt w:val="bullet"/>
      <w:lvlText w:val="o"/>
      <w:lvlJc w:val="left"/>
      <w:pPr>
        <w:ind w:left="5400"/>
      </w:pPr>
      <w:rPr>
        <w:rFonts w:ascii="Segoe UI Symbol" w:eastAsia="Segoe UI Symbol" w:hAnsi="Segoe UI Symbol" w:cs="Segoe UI Symbol"/>
        <w:b w:val="0"/>
        <w:i w:val="0"/>
        <w:strike w:val="0"/>
        <w:dstrike w:val="0"/>
        <w:color w:val="285216"/>
        <w:sz w:val="31"/>
        <w:szCs w:val="31"/>
        <w:u w:val="none" w:color="000000"/>
        <w:bdr w:val="none" w:sz="0" w:space="0" w:color="auto"/>
        <w:shd w:val="clear" w:color="auto" w:fill="auto"/>
        <w:vertAlign w:val="superscript"/>
      </w:rPr>
    </w:lvl>
    <w:lvl w:ilvl="8" w:tplc="717034EC">
      <w:start w:val="1"/>
      <w:numFmt w:val="bullet"/>
      <w:lvlText w:val="▪"/>
      <w:lvlJc w:val="left"/>
      <w:pPr>
        <w:ind w:left="6120"/>
      </w:pPr>
      <w:rPr>
        <w:rFonts w:ascii="Segoe UI Symbol" w:eastAsia="Segoe UI Symbol" w:hAnsi="Segoe UI Symbol" w:cs="Segoe UI Symbol"/>
        <w:b w:val="0"/>
        <w:i w:val="0"/>
        <w:strike w:val="0"/>
        <w:dstrike w:val="0"/>
        <w:color w:val="285216"/>
        <w:sz w:val="31"/>
        <w:szCs w:val="31"/>
        <w:u w:val="none" w:color="000000"/>
        <w:bdr w:val="none" w:sz="0" w:space="0" w:color="auto"/>
        <w:shd w:val="clear" w:color="auto" w:fill="auto"/>
        <w:vertAlign w:val="superscript"/>
      </w:rPr>
    </w:lvl>
  </w:abstractNum>
  <w:abstractNum w:abstractNumId="1" w15:restartNumberingAfterBreak="0">
    <w:nsid w:val="723702D3"/>
    <w:multiLevelType w:val="hybridMultilevel"/>
    <w:tmpl w:val="09F413EA"/>
    <w:lvl w:ilvl="0" w:tplc="34120A34">
      <w:start w:val="1"/>
      <w:numFmt w:val="decimal"/>
      <w:lvlText w:val="%1"/>
      <w:lvlJc w:val="left"/>
      <w:pPr>
        <w:ind w:left="355"/>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1" w:tplc="BAB42656">
      <w:start w:val="1"/>
      <w:numFmt w:val="lowerLetter"/>
      <w:lvlText w:val="%2"/>
      <w:lvlJc w:val="left"/>
      <w:pPr>
        <w:ind w:left="144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2" w:tplc="F692C1AE">
      <w:start w:val="1"/>
      <w:numFmt w:val="lowerRoman"/>
      <w:lvlText w:val="%3"/>
      <w:lvlJc w:val="left"/>
      <w:pPr>
        <w:ind w:left="216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3" w:tplc="AD5C2A26">
      <w:start w:val="1"/>
      <w:numFmt w:val="decimal"/>
      <w:lvlText w:val="%4"/>
      <w:lvlJc w:val="left"/>
      <w:pPr>
        <w:ind w:left="288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4" w:tplc="7C6472D8">
      <w:start w:val="1"/>
      <w:numFmt w:val="lowerLetter"/>
      <w:lvlText w:val="%5"/>
      <w:lvlJc w:val="left"/>
      <w:pPr>
        <w:ind w:left="360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5" w:tplc="2E8883B0">
      <w:start w:val="1"/>
      <w:numFmt w:val="lowerRoman"/>
      <w:lvlText w:val="%6"/>
      <w:lvlJc w:val="left"/>
      <w:pPr>
        <w:ind w:left="432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6" w:tplc="A0C89078">
      <w:start w:val="1"/>
      <w:numFmt w:val="decimal"/>
      <w:lvlText w:val="%7"/>
      <w:lvlJc w:val="left"/>
      <w:pPr>
        <w:ind w:left="504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7" w:tplc="E2A8ED22">
      <w:start w:val="1"/>
      <w:numFmt w:val="lowerLetter"/>
      <w:lvlText w:val="%8"/>
      <w:lvlJc w:val="left"/>
      <w:pPr>
        <w:ind w:left="576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8" w:tplc="C886741C">
      <w:start w:val="1"/>
      <w:numFmt w:val="lowerRoman"/>
      <w:lvlText w:val="%9"/>
      <w:lvlJc w:val="left"/>
      <w:pPr>
        <w:ind w:left="648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abstractNum>
  <w:abstractNum w:abstractNumId="2" w15:restartNumberingAfterBreak="0">
    <w:nsid w:val="749F5B7F"/>
    <w:multiLevelType w:val="hybridMultilevel"/>
    <w:tmpl w:val="BA8E75B0"/>
    <w:lvl w:ilvl="0" w:tplc="462422C2">
      <w:start w:val="1"/>
      <w:numFmt w:val="decimal"/>
      <w:lvlText w:val="%1"/>
      <w:lvlJc w:val="left"/>
      <w:pPr>
        <w:ind w:left="355"/>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1" w:tplc="C9D448B4">
      <w:start w:val="1"/>
      <w:numFmt w:val="lowerLetter"/>
      <w:lvlText w:val="%2"/>
      <w:lvlJc w:val="left"/>
      <w:pPr>
        <w:ind w:left="144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2" w:tplc="97201CB2">
      <w:start w:val="1"/>
      <w:numFmt w:val="lowerRoman"/>
      <w:lvlText w:val="%3"/>
      <w:lvlJc w:val="left"/>
      <w:pPr>
        <w:ind w:left="216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3" w:tplc="5706107A">
      <w:start w:val="1"/>
      <w:numFmt w:val="decimal"/>
      <w:lvlText w:val="%4"/>
      <w:lvlJc w:val="left"/>
      <w:pPr>
        <w:ind w:left="288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4" w:tplc="7E6A3C2C">
      <w:start w:val="1"/>
      <w:numFmt w:val="lowerLetter"/>
      <w:lvlText w:val="%5"/>
      <w:lvlJc w:val="left"/>
      <w:pPr>
        <w:ind w:left="360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5" w:tplc="F796C118">
      <w:start w:val="1"/>
      <w:numFmt w:val="lowerRoman"/>
      <w:lvlText w:val="%6"/>
      <w:lvlJc w:val="left"/>
      <w:pPr>
        <w:ind w:left="432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6" w:tplc="49FCD140">
      <w:start w:val="1"/>
      <w:numFmt w:val="decimal"/>
      <w:lvlText w:val="%7"/>
      <w:lvlJc w:val="left"/>
      <w:pPr>
        <w:ind w:left="504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7" w:tplc="209ECF5A">
      <w:start w:val="1"/>
      <w:numFmt w:val="lowerLetter"/>
      <w:lvlText w:val="%8"/>
      <w:lvlJc w:val="left"/>
      <w:pPr>
        <w:ind w:left="576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lvl w:ilvl="8" w:tplc="4F7E1194">
      <w:start w:val="1"/>
      <w:numFmt w:val="lowerRoman"/>
      <w:lvlText w:val="%9"/>
      <w:lvlJc w:val="left"/>
      <w:pPr>
        <w:ind w:left="6480"/>
      </w:pPr>
      <w:rPr>
        <w:rFonts w:ascii="Candara" w:eastAsia="Candara" w:hAnsi="Candara" w:cs="Candara"/>
        <w:b w:val="0"/>
        <w:i w:val="0"/>
        <w:strike w:val="0"/>
        <w:dstrike w:val="0"/>
        <w:color w:val="285216"/>
        <w:sz w:val="24"/>
        <w:szCs w:val="24"/>
        <w:u w:val="none" w:color="000000"/>
        <w:bdr w:val="none" w:sz="0" w:space="0" w:color="auto"/>
        <w:shd w:val="clear" w:color="auto" w:fill="auto"/>
        <w:vertAlign w:val="superscrip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45889C-3EA3-4AF2-8E7F-0CC214CAA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353"/>
      <w:jc w:val="center"/>
      <w:outlineLvl w:val="0"/>
    </w:pPr>
    <w:rPr>
      <w:rFonts w:ascii="Candara" w:eastAsia="Candara" w:hAnsi="Candara" w:cs="Candara"/>
      <w:b/>
      <w:color w:val="28521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ndara" w:eastAsia="Candara" w:hAnsi="Candara" w:cs="Candara"/>
      <w:b/>
      <w:color w:val="285216"/>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essex.gov.uk/Education-Schools/Schools/Special-Education-Needs/Pages/Parent-Partnership-Service.aspx" TargetMode="External"/><Relationship Id="rId13" Type="http://schemas.openxmlformats.org/officeDocument/2006/relationships/hyperlink" Target="http://www.essex.gov.uk/Education-Schools/Schools/Special-Education-Needs/Pages/Parent-Partnership-Service.aspx" TargetMode="External"/><Relationship Id="rId18" Type="http://schemas.openxmlformats.org/officeDocument/2006/relationships/hyperlink" Target="https://www.essex.gov.uk/Education-Schools/Schools/Admissions/Pages/Admissions.asp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hyperlink" Target="http://www.essex.gov.uk/Education-Schools/Schools/Special-Education-Needs/Pages/Parent-Partnership-Service.aspx" TargetMode="External"/><Relationship Id="rId17" Type="http://schemas.openxmlformats.org/officeDocument/2006/relationships/hyperlink" Target="https://www.essex.gov.uk/Education-Schools/Schools/Admissions/Pages/Admissions.aspx" TargetMode="External"/><Relationship Id="rId2" Type="http://schemas.openxmlformats.org/officeDocument/2006/relationships/styles" Target="styles.xml"/><Relationship Id="rId16" Type="http://schemas.openxmlformats.org/officeDocument/2006/relationships/hyperlink" Target="http://www.essex.gov.uk/Education-Schools/Schools/Special-Education-Needs/Pages/Parent-Partnership-Service.aspx" TargetMode="External"/><Relationship Id="rId20" Type="http://schemas.openxmlformats.org/officeDocument/2006/relationships/hyperlink" Target="https://www.essex.gov.uk/Education-Schools/Schools/Admissions/Pages/Admissions.aspx"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essex.gov.uk/Education-Schools/Schools/Special-Education-Needs/Pages/Parent-Partnership-Service.aspx" TargetMode="External"/><Relationship Id="rId5" Type="http://schemas.openxmlformats.org/officeDocument/2006/relationships/image" Target="media/image1.png"/><Relationship Id="rId15" Type="http://schemas.openxmlformats.org/officeDocument/2006/relationships/hyperlink" Target="http://www.essex.gov.uk/Education-Schools/Schools/Special-Education-Needs/Pages/Parent-Partnership-Service.aspx" TargetMode="External"/><Relationship Id="rId10" Type="http://schemas.openxmlformats.org/officeDocument/2006/relationships/hyperlink" Target="http://www.essex.gov.uk/Education-Schools/Schools/Special-Education-Needs/Pages/Parent-Partnership-Service.aspx" TargetMode="External"/><Relationship Id="rId19" Type="http://schemas.openxmlformats.org/officeDocument/2006/relationships/hyperlink" Target="https://www.essex.gov.uk/Education-Schools/Schools/Admissions/Pages/Admissions.aspx" TargetMode="External"/><Relationship Id="rId4" Type="http://schemas.openxmlformats.org/officeDocument/2006/relationships/webSettings" Target="webSettings.xml"/><Relationship Id="rId9" Type="http://schemas.openxmlformats.org/officeDocument/2006/relationships/hyperlink" Target="http://www.essex.gov.uk/Education-Schools/Schools/Special-Education-Needs/Pages/Parent-Partnership-Service.aspx" TargetMode="External"/><Relationship Id="rId14" Type="http://schemas.openxmlformats.org/officeDocument/2006/relationships/hyperlink" Target="http://www.essex.gov.uk/Education-Schools/Schools/Special-Education-Needs/Pages/Parent-Partnership-Service.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1622</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St Clares Catholic Primary School</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Melanie</cp:lastModifiedBy>
  <cp:revision>3</cp:revision>
  <dcterms:created xsi:type="dcterms:W3CDTF">2025-10-23T15:24:00Z</dcterms:created>
  <dcterms:modified xsi:type="dcterms:W3CDTF">2025-10-24T07:40:00Z</dcterms:modified>
</cp:coreProperties>
</file>